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73506" w14:textId="77777777" w:rsidR="00D13927" w:rsidRDefault="00D13927"/>
    <w:p w14:paraId="3519E9F1" w14:textId="77777777" w:rsidR="00F97907" w:rsidRDefault="00F97907">
      <w:pPr>
        <w:rPr>
          <w:rFonts w:ascii="Times New Roman" w:hAnsi="Times New Roman" w:cs="Times New Roman"/>
        </w:rPr>
      </w:pPr>
    </w:p>
    <w:p w14:paraId="3E309652" w14:textId="77777777" w:rsidR="00F97907" w:rsidRDefault="00F97907" w:rsidP="00F97907">
      <w:pPr>
        <w:jc w:val="center"/>
        <w:rPr>
          <w:rFonts w:ascii="Times New Roman" w:hAnsi="Times New Roman" w:cs="Times New Roman"/>
          <w:b/>
          <w:sz w:val="28"/>
          <w:szCs w:val="28"/>
        </w:rPr>
      </w:pPr>
      <w:r w:rsidRPr="00F97907">
        <w:rPr>
          <w:rFonts w:ascii="Times New Roman" w:hAnsi="Times New Roman" w:cs="Times New Roman"/>
          <w:b/>
          <w:sz w:val="28"/>
          <w:szCs w:val="28"/>
        </w:rPr>
        <w:t>EFFICIENCY ANALYSIS AT THE AGGREGATE LEVEL</w:t>
      </w:r>
    </w:p>
    <w:p w14:paraId="6903A479" w14:textId="77777777" w:rsidR="00F97907" w:rsidRDefault="00F97907" w:rsidP="00F97907">
      <w:pPr>
        <w:jc w:val="center"/>
        <w:rPr>
          <w:rFonts w:ascii="Times New Roman" w:hAnsi="Times New Roman" w:cs="Times New Roman"/>
          <w:b/>
          <w:sz w:val="28"/>
          <w:szCs w:val="28"/>
        </w:rPr>
      </w:pPr>
    </w:p>
    <w:p w14:paraId="4BC9AA3F" w14:textId="77777777" w:rsidR="00F97907" w:rsidRDefault="00F97907" w:rsidP="00F97907">
      <w:pPr>
        <w:jc w:val="center"/>
        <w:rPr>
          <w:rFonts w:ascii="Times New Roman" w:hAnsi="Times New Roman" w:cs="Times New Roman"/>
          <w:b/>
          <w:sz w:val="28"/>
          <w:szCs w:val="28"/>
        </w:rPr>
      </w:pPr>
    </w:p>
    <w:p w14:paraId="12950922" w14:textId="77777777" w:rsidR="00F97907" w:rsidRDefault="00F97907" w:rsidP="00F97907">
      <w:pPr>
        <w:jc w:val="center"/>
        <w:rPr>
          <w:rFonts w:ascii="Times New Roman" w:hAnsi="Times New Roman" w:cs="Times New Roman"/>
          <w:b/>
          <w:sz w:val="28"/>
          <w:szCs w:val="28"/>
        </w:rPr>
      </w:pPr>
    </w:p>
    <w:p w14:paraId="7A8C1372" w14:textId="77777777" w:rsidR="00F97907" w:rsidRDefault="00F97907" w:rsidP="00F97907">
      <w:pPr>
        <w:jc w:val="center"/>
        <w:rPr>
          <w:rFonts w:ascii="Times New Roman" w:hAnsi="Times New Roman" w:cs="Times New Roman"/>
          <w:b/>
          <w:sz w:val="28"/>
          <w:szCs w:val="28"/>
        </w:rPr>
      </w:pPr>
    </w:p>
    <w:p w14:paraId="6AD30229" w14:textId="77777777" w:rsidR="00F97907" w:rsidRDefault="00F97907" w:rsidP="00F97907">
      <w:pPr>
        <w:jc w:val="center"/>
        <w:rPr>
          <w:rFonts w:ascii="Times New Roman" w:hAnsi="Times New Roman" w:cs="Times New Roman"/>
          <w:b/>
          <w:sz w:val="28"/>
          <w:szCs w:val="28"/>
        </w:rPr>
      </w:pPr>
    </w:p>
    <w:p w14:paraId="3C06C193" w14:textId="77777777" w:rsidR="00F97907" w:rsidRDefault="00F97907" w:rsidP="00F97907">
      <w:pPr>
        <w:jc w:val="center"/>
        <w:rPr>
          <w:rFonts w:ascii="Times New Roman" w:hAnsi="Times New Roman" w:cs="Times New Roman"/>
          <w:b/>
          <w:sz w:val="28"/>
          <w:szCs w:val="28"/>
        </w:rPr>
      </w:pPr>
    </w:p>
    <w:p w14:paraId="6A3D06C8" w14:textId="77777777" w:rsidR="00F97907" w:rsidRDefault="00F97907" w:rsidP="00F97907">
      <w:pPr>
        <w:jc w:val="center"/>
        <w:rPr>
          <w:rFonts w:ascii="Times New Roman" w:hAnsi="Times New Roman" w:cs="Times New Roman"/>
        </w:rPr>
      </w:pPr>
      <w:proofErr w:type="spellStart"/>
      <w:r>
        <w:rPr>
          <w:rFonts w:ascii="Times New Roman" w:hAnsi="Times New Roman" w:cs="Times New Roman"/>
        </w:rPr>
        <w:t>Giannis</w:t>
      </w:r>
      <w:proofErr w:type="spellEnd"/>
      <w:r>
        <w:rPr>
          <w:rFonts w:ascii="Times New Roman" w:hAnsi="Times New Roman" w:cs="Times New Roman"/>
        </w:rPr>
        <w:t xml:space="preserve"> </w:t>
      </w:r>
      <w:proofErr w:type="spellStart"/>
      <w:r>
        <w:rPr>
          <w:rFonts w:ascii="Times New Roman" w:hAnsi="Times New Roman" w:cs="Times New Roman"/>
        </w:rPr>
        <w:t>Karagiannis</w:t>
      </w:r>
      <w:proofErr w:type="spellEnd"/>
    </w:p>
    <w:p w14:paraId="423A1374" w14:textId="77777777" w:rsidR="00977D87" w:rsidRDefault="00977D87" w:rsidP="00F97907">
      <w:pPr>
        <w:jc w:val="center"/>
        <w:rPr>
          <w:rFonts w:ascii="Times New Roman" w:hAnsi="Times New Roman" w:cs="Times New Roman"/>
        </w:rPr>
      </w:pPr>
    </w:p>
    <w:p w14:paraId="49091917" w14:textId="77777777" w:rsidR="00977D87" w:rsidRDefault="00977D87" w:rsidP="00F97907">
      <w:pPr>
        <w:jc w:val="center"/>
        <w:rPr>
          <w:rFonts w:ascii="Times New Roman" w:hAnsi="Times New Roman" w:cs="Times New Roman"/>
        </w:rPr>
      </w:pPr>
      <w:r>
        <w:rPr>
          <w:rFonts w:ascii="Times New Roman" w:hAnsi="Times New Roman" w:cs="Times New Roman"/>
        </w:rPr>
        <w:t>Professor, Department of Economics, University of Macedonia, Thessaloniki, Greece</w:t>
      </w:r>
    </w:p>
    <w:p w14:paraId="7D1459EC" w14:textId="77777777" w:rsidR="00F97907" w:rsidRDefault="00F97907" w:rsidP="00F97907">
      <w:pPr>
        <w:jc w:val="center"/>
        <w:rPr>
          <w:rFonts w:ascii="Times New Roman" w:hAnsi="Times New Roman" w:cs="Times New Roman"/>
        </w:rPr>
      </w:pPr>
    </w:p>
    <w:p w14:paraId="10CAB962" w14:textId="77777777" w:rsidR="00F97907" w:rsidRDefault="00F97907" w:rsidP="00F97907">
      <w:pPr>
        <w:jc w:val="center"/>
        <w:rPr>
          <w:rFonts w:ascii="Times New Roman" w:hAnsi="Times New Roman" w:cs="Times New Roman"/>
        </w:rPr>
      </w:pPr>
    </w:p>
    <w:p w14:paraId="4C36A7D0" w14:textId="77777777" w:rsidR="00F97907" w:rsidRDefault="00F97907" w:rsidP="00F97907">
      <w:pPr>
        <w:jc w:val="center"/>
        <w:rPr>
          <w:rFonts w:ascii="Times New Roman" w:hAnsi="Times New Roman" w:cs="Times New Roman"/>
        </w:rPr>
      </w:pPr>
    </w:p>
    <w:p w14:paraId="67D0ADC7" w14:textId="77777777" w:rsidR="00977D87" w:rsidRDefault="00977D87" w:rsidP="00F97907">
      <w:pPr>
        <w:jc w:val="center"/>
        <w:rPr>
          <w:rFonts w:ascii="Times New Roman" w:hAnsi="Times New Roman" w:cs="Times New Roman"/>
        </w:rPr>
      </w:pPr>
      <w:bookmarkStart w:id="0" w:name="_GoBack"/>
      <w:bookmarkEnd w:id="0"/>
    </w:p>
    <w:p w14:paraId="4BA7959E" w14:textId="77777777" w:rsidR="00F97907" w:rsidRDefault="00F97907" w:rsidP="00F97907">
      <w:pPr>
        <w:jc w:val="center"/>
        <w:rPr>
          <w:rFonts w:ascii="Times New Roman" w:hAnsi="Times New Roman" w:cs="Times New Roman"/>
        </w:rPr>
      </w:pPr>
    </w:p>
    <w:p w14:paraId="77239E92" w14:textId="77777777" w:rsidR="00F97907" w:rsidRDefault="00F97907" w:rsidP="00F97907">
      <w:pPr>
        <w:jc w:val="center"/>
        <w:rPr>
          <w:rFonts w:ascii="Times New Roman" w:hAnsi="Times New Roman" w:cs="Times New Roman"/>
        </w:rPr>
      </w:pPr>
    </w:p>
    <w:p w14:paraId="2C872E84" w14:textId="77777777" w:rsidR="001021F0" w:rsidRDefault="00F97907" w:rsidP="00F97907">
      <w:pPr>
        <w:jc w:val="both"/>
        <w:rPr>
          <w:rFonts w:ascii="Times New Roman" w:hAnsi="Times New Roman" w:cs="Times New Roman"/>
        </w:rPr>
      </w:pPr>
      <w:r>
        <w:rPr>
          <w:rFonts w:ascii="Times New Roman" w:hAnsi="Times New Roman" w:cs="Times New Roman"/>
        </w:rPr>
        <w:t>ABSTRACT: Structural and industry efficiency are two alternative but related metrics to evaluate efficiency at the aggregate level.  We explore several measurement issues related to these two measures of aggregate efficiency as well as their relationship to the efficiency of the average production unit and average efficiency.  In particular, using Koopmans theorem and the denominator rule we provide consistent estimates of several types of efficiency indic</w:t>
      </w:r>
      <w:r w:rsidR="001021F0">
        <w:rPr>
          <w:rFonts w:ascii="Times New Roman" w:hAnsi="Times New Roman" w:cs="Times New Roman"/>
        </w:rPr>
        <w:t>es, such as technical, scale,</w:t>
      </w:r>
      <w:r>
        <w:rPr>
          <w:rFonts w:ascii="Times New Roman" w:hAnsi="Times New Roman" w:cs="Times New Roman"/>
        </w:rPr>
        <w:t xml:space="preserve"> </w:t>
      </w:r>
      <w:proofErr w:type="spellStart"/>
      <w:r>
        <w:rPr>
          <w:rFonts w:ascii="Times New Roman" w:hAnsi="Times New Roman" w:cs="Times New Roman"/>
        </w:rPr>
        <w:t>allocative</w:t>
      </w:r>
      <w:proofErr w:type="spellEnd"/>
      <w:r>
        <w:rPr>
          <w:rFonts w:ascii="Times New Roman" w:hAnsi="Times New Roman" w:cs="Times New Roman"/>
        </w:rPr>
        <w:t xml:space="preserve"> </w:t>
      </w:r>
      <w:r w:rsidR="001021F0">
        <w:rPr>
          <w:rFonts w:ascii="Times New Roman" w:hAnsi="Times New Roman" w:cs="Times New Roman"/>
        </w:rPr>
        <w:t xml:space="preserve">and economic (i.e., cost, revenue, or profit) </w:t>
      </w:r>
      <w:r>
        <w:rPr>
          <w:rFonts w:ascii="Times New Roman" w:hAnsi="Times New Roman" w:cs="Times New Roman"/>
        </w:rPr>
        <w:t xml:space="preserve">efficiency, as well as efficiency related measures such as </w:t>
      </w:r>
      <w:r w:rsidR="001021F0">
        <w:rPr>
          <w:rFonts w:ascii="Times New Roman" w:hAnsi="Times New Roman" w:cs="Times New Roman"/>
        </w:rPr>
        <w:t>for the input congestion and capacity utilization.  All these metrics are aggregated from the individual to aggregate measures using different weights, depending upon the choice of orientation</w:t>
      </w:r>
      <w:r w:rsidR="009E4EAE">
        <w:rPr>
          <w:rFonts w:ascii="Times New Roman" w:hAnsi="Times New Roman" w:cs="Times New Roman"/>
        </w:rPr>
        <w:t xml:space="preserve">, the dimension and structure of the technology, and most importantly the metric under consideration.  Their common feature is that are defined in terms of the variable that each time appears in the denominator of the relevant efficiency ratio, and thus can be measured in terms of observed or potential (frontier) values.  </w:t>
      </w:r>
      <w:r w:rsidR="001021F0">
        <w:rPr>
          <w:rFonts w:ascii="Times New Roman" w:hAnsi="Times New Roman" w:cs="Times New Roman"/>
        </w:rPr>
        <w:t>We proceed even further and we e</w:t>
      </w:r>
      <w:r w:rsidR="009E4EAE">
        <w:rPr>
          <w:rFonts w:ascii="Times New Roman" w:hAnsi="Times New Roman" w:cs="Times New Roman"/>
        </w:rPr>
        <w:t>xamine the aggregation</w:t>
      </w:r>
      <w:r w:rsidR="001021F0">
        <w:rPr>
          <w:rFonts w:ascii="Times New Roman" w:hAnsi="Times New Roman" w:cs="Times New Roman"/>
        </w:rPr>
        <w:t xml:space="preserve"> of programmatic </w:t>
      </w:r>
      <w:r w:rsidR="009366AE">
        <w:rPr>
          <w:rFonts w:ascii="Times New Roman" w:hAnsi="Times New Roman" w:cs="Times New Roman"/>
        </w:rPr>
        <w:t xml:space="preserve">(intra-group) </w:t>
      </w:r>
      <w:r w:rsidR="001021F0">
        <w:rPr>
          <w:rFonts w:ascii="Times New Roman" w:hAnsi="Times New Roman" w:cs="Times New Roman"/>
        </w:rPr>
        <w:t>efficiency, i.e., when ther</w:t>
      </w:r>
      <w:r w:rsidR="009366AE">
        <w:rPr>
          <w:rFonts w:ascii="Times New Roman" w:hAnsi="Times New Roman" w:cs="Times New Roman"/>
        </w:rPr>
        <w:t>e are more than one technologies</w:t>
      </w:r>
      <w:r w:rsidR="001021F0">
        <w:rPr>
          <w:rFonts w:ascii="Times New Roman" w:hAnsi="Times New Roman" w:cs="Times New Roman"/>
        </w:rPr>
        <w:t xml:space="preserve"> producing the same output, and the </w:t>
      </w:r>
      <w:r w:rsidR="009366AE">
        <w:rPr>
          <w:rFonts w:ascii="Times New Roman" w:hAnsi="Times New Roman" w:cs="Times New Roman"/>
        </w:rPr>
        <w:t xml:space="preserve">case of the </w:t>
      </w:r>
      <w:r w:rsidR="001021F0">
        <w:rPr>
          <w:rFonts w:ascii="Times New Roman" w:hAnsi="Times New Roman" w:cs="Times New Roman"/>
        </w:rPr>
        <w:t>single constant input DEA model used for the construction of composite indicators, often referred to as the Benefit-of-the-Doubt model.</w:t>
      </w:r>
      <w:r w:rsidR="009E4EAE">
        <w:rPr>
          <w:rFonts w:ascii="Times New Roman" w:hAnsi="Times New Roman" w:cs="Times New Roman"/>
        </w:rPr>
        <w:t xml:space="preserve">  </w:t>
      </w:r>
      <w:r w:rsidR="001021F0">
        <w:rPr>
          <w:rFonts w:ascii="Times New Roman" w:hAnsi="Times New Roman" w:cs="Times New Roman"/>
        </w:rPr>
        <w:t xml:space="preserve">  </w:t>
      </w:r>
    </w:p>
    <w:p w14:paraId="591051F2" w14:textId="77777777" w:rsidR="001021F0" w:rsidRDefault="001021F0" w:rsidP="00F97907">
      <w:pPr>
        <w:jc w:val="both"/>
        <w:rPr>
          <w:rFonts w:ascii="Times New Roman" w:hAnsi="Times New Roman" w:cs="Times New Roman"/>
        </w:rPr>
      </w:pPr>
    </w:p>
    <w:p w14:paraId="6224A281" w14:textId="77777777" w:rsidR="001021F0" w:rsidRDefault="001021F0" w:rsidP="00F97907">
      <w:pPr>
        <w:jc w:val="both"/>
        <w:rPr>
          <w:rFonts w:ascii="Times New Roman" w:hAnsi="Times New Roman" w:cs="Times New Roman"/>
        </w:rPr>
      </w:pPr>
    </w:p>
    <w:p w14:paraId="327B16CA" w14:textId="77777777" w:rsidR="00F97907" w:rsidRPr="00F97907" w:rsidRDefault="001021F0" w:rsidP="00F97907">
      <w:pPr>
        <w:jc w:val="both"/>
        <w:rPr>
          <w:rFonts w:ascii="Times New Roman" w:hAnsi="Times New Roman" w:cs="Times New Roman"/>
        </w:rPr>
      </w:pPr>
      <w:r>
        <w:rPr>
          <w:rFonts w:ascii="Times New Roman" w:hAnsi="Times New Roman" w:cs="Times New Roman"/>
        </w:rPr>
        <w:t xml:space="preserve">  </w:t>
      </w:r>
      <w:r w:rsidR="00F97907">
        <w:rPr>
          <w:rFonts w:ascii="Times New Roman" w:hAnsi="Times New Roman" w:cs="Times New Roman"/>
        </w:rPr>
        <w:t xml:space="preserve">   </w:t>
      </w:r>
    </w:p>
    <w:sectPr w:rsidR="00F97907" w:rsidRPr="00F97907" w:rsidSect="00C9143A">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07"/>
    <w:rsid w:val="001021F0"/>
    <w:rsid w:val="009366AE"/>
    <w:rsid w:val="00977D87"/>
    <w:rsid w:val="009E4EAE"/>
    <w:rsid w:val="00C9143A"/>
    <w:rsid w:val="00D13927"/>
    <w:rsid w:val="00F97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DD09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242</Words>
  <Characters>1380</Characters>
  <Application>Microsoft Macintosh Word</Application>
  <DocSecurity>0</DocSecurity>
  <Lines>11</Lines>
  <Paragraphs>3</Paragraphs>
  <ScaleCrop>false</ScaleCrop>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2015-09-22T05:05:00Z</dcterms:created>
  <dcterms:modified xsi:type="dcterms:W3CDTF">2015-09-22T05:40:00Z</dcterms:modified>
</cp:coreProperties>
</file>