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EBC" w:rsidRDefault="00CF1EBC" w:rsidP="00D3536C">
      <w:pPr>
        <w:spacing w:after="120" w:line="250" w:lineRule="auto"/>
        <w:ind w:left="1287" w:right="1293"/>
        <w:jc w:val="center"/>
        <w:rPr>
          <w:rFonts w:ascii="Arial" w:eastAsia="Arial" w:hAnsi="Arial" w:cs="Arial"/>
          <w:i w:val="0"/>
          <w:color w:val="000000"/>
          <w:sz w:val="32"/>
          <w:szCs w:val="32"/>
        </w:rPr>
      </w:pPr>
      <w:bookmarkStart w:id="0" w:name="_GoBack"/>
      <w:bookmarkEnd w:id="0"/>
    </w:p>
    <w:p w:rsidR="00FC5C3A" w:rsidRPr="00694FDB" w:rsidRDefault="00D3536C" w:rsidP="00D3536C">
      <w:pPr>
        <w:spacing w:after="120" w:line="250" w:lineRule="auto"/>
        <w:ind w:left="1287" w:right="1293"/>
        <w:jc w:val="center"/>
        <w:rPr>
          <w:sz w:val="32"/>
          <w:szCs w:val="32"/>
        </w:rPr>
      </w:pPr>
      <w:r w:rsidRPr="00694FDB">
        <w:rPr>
          <w:rFonts w:ascii="Arial" w:eastAsia="Arial" w:hAnsi="Arial" w:cs="Arial"/>
          <w:i w:val="0"/>
          <w:color w:val="000000"/>
          <w:sz w:val="32"/>
          <w:szCs w:val="32"/>
        </w:rPr>
        <w:t xml:space="preserve">Im Rahmen der öffentlichen Vortragsreihe </w:t>
      </w:r>
    </w:p>
    <w:p w:rsidR="00FC5C3A" w:rsidRPr="0000552B" w:rsidRDefault="00D3536C">
      <w:pPr>
        <w:spacing w:after="216" w:line="259" w:lineRule="auto"/>
        <w:jc w:val="center"/>
        <w:rPr>
          <w:sz w:val="40"/>
          <w:szCs w:val="40"/>
        </w:rPr>
      </w:pPr>
      <w:r w:rsidRPr="0000552B">
        <w:rPr>
          <w:rFonts w:ascii="Arial" w:eastAsia="Arial" w:hAnsi="Arial" w:cs="Arial"/>
          <w:b/>
          <w:i w:val="0"/>
          <w:color w:val="00CCFF"/>
          <w:sz w:val="40"/>
          <w:szCs w:val="40"/>
        </w:rPr>
        <w:t>Economic Theory and Policy</w:t>
      </w:r>
      <w:r w:rsidRPr="0000552B">
        <w:rPr>
          <w:rFonts w:ascii="Arial" w:eastAsia="Arial" w:hAnsi="Arial" w:cs="Arial"/>
          <w:i w:val="0"/>
          <w:color w:val="00CCFF"/>
          <w:sz w:val="40"/>
          <w:szCs w:val="40"/>
        </w:rPr>
        <w:t xml:space="preserve"> </w:t>
      </w:r>
    </w:p>
    <w:p w:rsidR="00FC5C3A" w:rsidRPr="00694FDB" w:rsidRDefault="00D3536C" w:rsidP="004E7229">
      <w:pPr>
        <w:spacing w:after="240" w:line="250" w:lineRule="auto"/>
        <w:ind w:right="369" w:hanging="11"/>
        <w:jc w:val="center"/>
        <w:rPr>
          <w:sz w:val="32"/>
          <w:szCs w:val="32"/>
        </w:rPr>
      </w:pPr>
      <w:r w:rsidRPr="00694FDB">
        <w:rPr>
          <w:rFonts w:ascii="Arial" w:eastAsia="Arial" w:hAnsi="Arial" w:cs="Arial"/>
          <w:i w:val="0"/>
          <w:color w:val="000000"/>
          <w:sz w:val="32"/>
          <w:szCs w:val="32"/>
        </w:rPr>
        <w:t xml:space="preserve">der Forschungsgruppe Ökonomie  </w:t>
      </w:r>
      <w:r w:rsidR="007F74B1" w:rsidRPr="00694FDB">
        <w:rPr>
          <w:rFonts w:ascii="Arial" w:eastAsia="Arial" w:hAnsi="Arial" w:cs="Arial"/>
          <w:i w:val="0"/>
          <w:color w:val="000000"/>
          <w:sz w:val="32"/>
          <w:szCs w:val="32"/>
        </w:rPr>
        <w:br/>
      </w:r>
      <w:r w:rsidRPr="00694FDB">
        <w:rPr>
          <w:rFonts w:ascii="Arial" w:eastAsia="Arial" w:hAnsi="Arial" w:cs="Arial"/>
          <w:i w:val="0"/>
          <w:color w:val="000000"/>
          <w:sz w:val="32"/>
          <w:szCs w:val="32"/>
        </w:rPr>
        <w:t xml:space="preserve">am Institut für </w:t>
      </w:r>
      <w:r w:rsidR="00E5470B" w:rsidRPr="00694FDB">
        <w:rPr>
          <w:rFonts w:ascii="Arial" w:eastAsia="Arial" w:hAnsi="Arial" w:cs="Arial"/>
          <w:i w:val="0"/>
          <w:color w:val="000000"/>
          <w:sz w:val="32"/>
          <w:szCs w:val="32"/>
        </w:rPr>
        <w:t>Stochastik und Wirtschaftsmathematik</w:t>
      </w:r>
      <w:r w:rsidR="00877EF5" w:rsidRPr="00694FDB">
        <w:rPr>
          <w:rFonts w:ascii="Arial" w:eastAsia="Arial" w:hAnsi="Arial" w:cs="Arial"/>
          <w:i w:val="0"/>
          <w:color w:val="000000"/>
          <w:sz w:val="32"/>
          <w:szCs w:val="32"/>
        </w:rPr>
        <w:t xml:space="preserve"> der TU </w:t>
      </w:r>
      <w:r w:rsidRPr="00694FDB">
        <w:rPr>
          <w:rFonts w:ascii="Arial" w:eastAsia="Arial" w:hAnsi="Arial" w:cs="Arial"/>
          <w:i w:val="0"/>
          <w:color w:val="000000"/>
          <w:sz w:val="32"/>
          <w:szCs w:val="32"/>
        </w:rPr>
        <w:t xml:space="preserve">Wien </w:t>
      </w:r>
    </w:p>
    <w:p w:rsidR="00FC5C3A" w:rsidRPr="006A3C36" w:rsidRDefault="00D3536C" w:rsidP="00526FCE">
      <w:pPr>
        <w:spacing w:after="240" w:line="250" w:lineRule="auto"/>
        <w:ind w:left="1298" w:right="1293" w:hanging="11"/>
        <w:contextualSpacing/>
        <w:jc w:val="center"/>
        <w:rPr>
          <w:rFonts w:ascii="Arial" w:eastAsia="Arial" w:hAnsi="Arial" w:cs="Arial"/>
          <w:i w:val="0"/>
          <w:color w:val="000000"/>
          <w:sz w:val="32"/>
          <w:szCs w:val="32"/>
          <w:lang w:val="de-AT"/>
        </w:rPr>
      </w:pPr>
      <w:r w:rsidRPr="006A3C36">
        <w:rPr>
          <w:rFonts w:ascii="Arial" w:eastAsia="Arial" w:hAnsi="Arial" w:cs="Arial"/>
          <w:i w:val="0"/>
          <w:color w:val="000000"/>
          <w:sz w:val="32"/>
          <w:szCs w:val="32"/>
          <w:lang w:val="de-AT"/>
        </w:rPr>
        <w:t>hält</w:t>
      </w:r>
    </w:p>
    <w:p w:rsidR="00D3536C" w:rsidRPr="006A3C36" w:rsidRDefault="00D3536C" w:rsidP="00D3536C">
      <w:pPr>
        <w:spacing w:after="0" w:line="250" w:lineRule="auto"/>
        <w:ind w:left="1296" w:right="1290" w:hanging="10"/>
        <w:contextualSpacing/>
        <w:jc w:val="center"/>
        <w:rPr>
          <w:sz w:val="28"/>
          <w:szCs w:val="28"/>
          <w:lang w:val="de-AT"/>
        </w:rPr>
      </w:pPr>
    </w:p>
    <w:p w:rsidR="002C2C23" w:rsidRPr="006A3C36" w:rsidRDefault="00526FCE" w:rsidP="00526FCE">
      <w:pPr>
        <w:spacing w:after="0" w:line="240" w:lineRule="auto"/>
        <w:ind w:right="1701"/>
        <w:contextualSpacing/>
        <w:jc w:val="center"/>
        <w:rPr>
          <w:rFonts w:ascii="Arial" w:eastAsia="Arial" w:hAnsi="Arial" w:cs="Arial"/>
          <w:b/>
          <w:i w:val="0"/>
          <w:color w:val="00CCFF"/>
          <w:sz w:val="40"/>
          <w:szCs w:val="40"/>
          <w:lang w:val="de-AT"/>
        </w:rPr>
      </w:pPr>
      <w:r w:rsidRPr="006A3C36">
        <w:rPr>
          <w:rFonts w:ascii="Arial" w:eastAsia="Arial" w:hAnsi="Arial" w:cs="Arial"/>
          <w:b/>
          <w:i w:val="0"/>
          <w:color w:val="00CCFF"/>
          <w:sz w:val="40"/>
          <w:szCs w:val="40"/>
          <w:lang w:val="de-AT"/>
        </w:rPr>
        <w:t xml:space="preserve">                   </w:t>
      </w:r>
      <w:r w:rsidR="00463B52" w:rsidRPr="006A3C36">
        <w:rPr>
          <w:rFonts w:ascii="Arial" w:eastAsia="Arial" w:hAnsi="Arial" w:cs="Arial"/>
          <w:b/>
          <w:i w:val="0"/>
          <w:color w:val="00CCFF"/>
          <w:sz w:val="40"/>
          <w:szCs w:val="40"/>
          <w:lang w:val="de-AT"/>
        </w:rPr>
        <w:t>Dr. Timo Trimborn</w:t>
      </w:r>
    </w:p>
    <w:p w:rsidR="00406579" w:rsidRPr="006A3C36" w:rsidRDefault="00406579" w:rsidP="00406579">
      <w:pPr>
        <w:spacing w:after="0" w:line="240" w:lineRule="auto"/>
        <w:ind w:right="1701"/>
        <w:contextualSpacing/>
        <w:jc w:val="center"/>
        <w:rPr>
          <w:rFonts w:ascii="Arial" w:eastAsia="Arial" w:hAnsi="Arial" w:cs="Arial"/>
          <w:b/>
          <w:i w:val="0"/>
          <w:color w:val="00CCFF"/>
          <w:sz w:val="40"/>
          <w:szCs w:val="40"/>
          <w:lang w:val="de-AT"/>
        </w:rPr>
      </w:pPr>
      <w:r w:rsidRPr="006A3C36">
        <w:rPr>
          <w:rFonts w:ascii="Arial" w:eastAsia="Arial" w:hAnsi="Arial" w:cs="Arial"/>
          <w:b/>
          <w:i w:val="0"/>
          <w:color w:val="00CCFF"/>
          <w:sz w:val="40"/>
          <w:szCs w:val="40"/>
          <w:lang w:val="de-AT"/>
        </w:rPr>
        <w:t xml:space="preserve">                   </w:t>
      </w:r>
      <w:r w:rsidR="00C45CDD" w:rsidRPr="006A3C36">
        <w:rPr>
          <w:rFonts w:ascii="Arial" w:eastAsia="Arial" w:hAnsi="Arial" w:cs="Arial"/>
          <w:b/>
          <w:i w:val="0"/>
          <w:color w:val="00CCFF"/>
          <w:sz w:val="40"/>
          <w:szCs w:val="40"/>
          <w:lang w:val="de-AT"/>
        </w:rPr>
        <w:t>(</w:t>
      </w:r>
      <w:r w:rsidR="00463B52" w:rsidRPr="006A3C36">
        <w:rPr>
          <w:rFonts w:ascii="Arial" w:eastAsia="Arial" w:hAnsi="Arial" w:cs="Arial"/>
          <w:b/>
          <w:i w:val="0"/>
          <w:color w:val="00CCFF"/>
          <w:sz w:val="40"/>
          <w:szCs w:val="40"/>
          <w:lang w:val="de-AT"/>
        </w:rPr>
        <w:t>TU Wien</w:t>
      </w:r>
      <w:r w:rsidRPr="006A3C36">
        <w:rPr>
          <w:rFonts w:ascii="Arial" w:eastAsia="Arial" w:hAnsi="Arial" w:cs="Arial"/>
          <w:b/>
          <w:i w:val="0"/>
          <w:color w:val="00CCFF"/>
          <w:sz w:val="40"/>
          <w:szCs w:val="40"/>
          <w:lang w:val="de-AT"/>
        </w:rPr>
        <w:t>)</w:t>
      </w:r>
    </w:p>
    <w:p w:rsidR="004E7229" w:rsidRPr="006A3C36" w:rsidRDefault="008F12E2" w:rsidP="004E7229">
      <w:pPr>
        <w:spacing w:after="240" w:line="250" w:lineRule="auto"/>
        <w:ind w:right="369" w:hanging="11"/>
        <w:jc w:val="center"/>
        <w:rPr>
          <w:rFonts w:ascii="Arial" w:eastAsia="Arial" w:hAnsi="Arial" w:cs="Arial"/>
          <w:b/>
          <w:i w:val="0"/>
          <w:color w:val="00CCFF"/>
          <w:sz w:val="40"/>
          <w:szCs w:val="40"/>
          <w:lang w:val="de-AT"/>
        </w:rPr>
      </w:pPr>
      <w:r w:rsidRPr="006A3C36">
        <w:rPr>
          <w:rFonts w:ascii="Arial" w:eastAsia="Arial" w:hAnsi="Arial" w:cs="Arial"/>
          <w:i w:val="0"/>
          <w:color w:val="000000"/>
          <w:sz w:val="32"/>
          <w:szCs w:val="32"/>
          <w:lang w:val="de-AT"/>
        </w:rPr>
        <w:t xml:space="preserve"> </w:t>
      </w:r>
    </w:p>
    <w:p w:rsidR="00FC5C3A" w:rsidRPr="00006860" w:rsidRDefault="00526FCE" w:rsidP="004E7229">
      <w:pPr>
        <w:spacing w:after="240" w:line="250" w:lineRule="auto"/>
        <w:ind w:right="369" w:hanging="11"/>
        <w:jc w:val="center"/>
        <w:rPr>
          <w:rFonts w:ascii="Arial" w:eastAsia="Arial" w:hAnsi="Arial" w:cs="Arial"/>
          <w:b/>
          <w:i w:val="0"/>
          <w:color w:val="00CCFF"/>
          <w:sz w:val="40"/>
          <w:szCs w:val="40"/>
          <w:lang w:val="en-GB"/>
        </w:rPr>
      </w:pPr>
      <w:r w:rsidRPr="006A3C36">
        <w:rPr>
          <w:rFonts w:ascii="Arial" w:eastAsia="Arial" w:hAnsi="Arial" w:cs="Arial"/>
          <w:b/>
          <w:i w:val="0"/>
          <w:color w:val="000000"/>
          <w:sz w:val="40"/>
          <w:szCs w:val="40"/>
          <w:lang w:val="de-AT"/>
        </w:rPr>
        <w:t xml:space="preserve">    </w:t>
      </w:r>
      <w:r w:rsidR="00D3536C" w:rsidRPr="00006860">
        <w:rPr>
          <w:rFonts w:ascii="Arial" w:eastAsia="Arial" w:hAnsi="Arial" w:cs="Arial"/>
          <w:b/>
          <w:i w:val="0"/>
          <w:color w:val="000000"/>
          <w:sz w:val="40"/>
          <w:szCs w:val="40"/>
          <w:lang w:val="en-GB"/>
        </w:rPr>
        <w:t xml:space="preserve">einen Vortrag </w:t>
      </w:r>
    </w:p>
    <w:p w:rsidR="00FC5C3A" w:rsidRPr="00006860" w:rsidRDefault="00D3536C" w:rsidP="004E7229">
      <w:pPr>
        <w:spacing w:after="240" w:line="250" w:lineRule="auto"/>
        <w:ind w:left="1298" w:right="1293" w:hanging="11"/>
        <w:contextualSpacing/>
        <w:jc w:val="center"/>
        <w:rPr>
          <w:rFonts w:ascii="Arial" w:eastAsia="Arial" w:hAnsi="Arial" w:cs="Arial"/>
          <w:i w:val="0"/>
          <w:color w:val="000000"/>
          <w:sz w:val="32"/>
          <w:szCs w:val="32"/>
          <w:lang w:val="en-GB"/>
        </w:rPr>
      </w:pPr>
      <w:r w:rsidRPr="00006860">
        <w:rPr>
          <w:rFonts w:ascii="Arial" w:eastAsia="Arial" w:hAnsi="Arial" w:cs="Arial"/>
          <w:i w:val="0"/>
          <w:color w:val="000000"/>
          <w:sz w:val="32"/>
          <w:szCs w:val="32"/>
          <w:lang w:val="en-GB"/>
        </w:rPr>
        <w:t xml:space="preserve">mit dem Titel </w:t>
      </w:r>
    </w:p>
    <w:p w:rsidR="00D3536C" w:rsidRPr="00006860" w:rsidRDefault="00D3536C" w:rsidP="00D3536C">
      <w:pPr>
        <w:spacing w:after="0" w:line="250" w:lineRule="auto"/>
        <w:ind w:left="1296" w:right="1292" w:hanging="10"/>
        <w:jc w:val="center"/>
        <w:rPr>
          <w:lang w:val="en-GB"/>
        </w:rPr>
      </w:pPr>
    </w:p>
    <w:p w:rsidR="00F07591" w:rsidRPr="00BA0BA2" w:rsidRDefault="00463B52" w:rsidP="004E7229">
      <w:pPr>
        <w:spacing w:after="240" w:line="240" w:lineRule="auto"/>
        <w:ind w:left="142" w:right="-57" w:hanging="102"/>
        <w:contextualSpacing/>
        <w:jc w:val="center"/>
        <w:rPr>
          <w:rFonts w:ascii="Arial" w:eastAsia="Arial" w:hAnsi="Arial" w:cs="Arial"/>
          <w:b/>
          <w:i w:val="0"/>
          <w:color w:val="00CCFF"/>
          <w:sz w:val="40"/>
          <w:szCs w:val="40"/>
          <w:lang w:val="en-GB"/>
        </w:rPr>
      </w:pPr>
      <w:r>
        <w:rPr>
          <w:rFonts w:ascii="Arial" w:eastAsia="Arial" w:hAnsi="Arial" w:cs="Arial"/>
          <w:b/>
          <w:i w:val="0"/>
          <w:color w:val="00CCFF"/>
          <w:sz w:val="40"/>
          <w:szCs w:val="40"/>
          <w:lang w:val="en-GB"/>
        </w:rPr>
        <w:lastRenderedPageBreak/>
        <w:t xml:space="preserve">Boosting Taxes for Boasting about Houses: </w:t>
      </w:r>
      <w:r>
        <w:rPr>
          <w:rFonts w:ascii="Arial" w:eastAsia="Arial" w:hAnsi="Arial" w:cs="Arial"/>
          <w:b/>
          <w:i w:val="0"/>
          <w:color w:val="00CCFF"/>
          <w:sz w:val="40"/>
          <w:szCs w:val="40"/>
          <w:lang w:val="en-GB"/>
        </w:rPr>
        <w:br/>
        <w:t>Status Concerns in the Housing Market</w:t>
      </w:r>
    </w:p>
    <w:p w:rsidR="00CF1EBC" w:rsidRPr="00BA0BA2" w:rsidRDefault="00CF1EBC" w:rsidP="004E7229">
      <w:pPr>
        <w:spacing w:after="240" w:line="240" w:lineRule="auto"/>
        <w:ind w:left="142" w:right="-57" w:hanging="102"/>
        <w:contextualSpacing/>
        <w:jc w:val="center"/>
        <w:rPr>
          <w:rFonts w:ascii="Arial" w:eastAsia="Arial" w:hAnsi="Arial" w:cs="Arial"/>
          <w:b/>
          <w:i w:val="0"/>
          <w:color w:val="00CCFF"/>
          <w:sz w:val="40"/>
          <w:szCs w:val="40"/>
          <w:lang w:val="en-GB"/>
        </w:rPr>
      </w:pPr>
    </w:p>
    <w:p w:rsidR="00E56888" w:rsidRPr="00BA0BA2" w:rsidRDefault="00E56888" w:rsidP="00526FCE">
      <w:pPr>
        <w:autoSpaceDE w:val="0"/>
        <w:autoSpaceDN w:val="0"/>
        <w:adjustRightInd w:val="0"/>
        <w:spacing w:after="0" w:line="240" w:lineRule="auto"/>
        <w:rPr>
          <w:b/>
          <w:i w:val="0"/>
          <w:lang w:val="en-GB"/>
        </w:rPr>
      </w:pPr>
    </w:p>
    <w:p w:rsidR="00E56888" w:rsidRPr="00BA0BA2" w:rsidRDefault="00E56888" w:rsidP="00526FCE">
      <w:pPr>
        <w:autoSpaceDE w:val="0"/>
        <w:autoSpaceDN w:val="0"/>
        <w:adjustRightInd w:val="0"/>
        <w:spacing w:after="0" w:line="240" w:lineRule="auto"/>
        <w:rPr>
          <w:b/>
          <w:i w:val="0"/>
          <w:lang w:val="en-GB"/>
        </w:rPr>
      </w:pPr>
    </w:p>
    <w:p w:rsidR="00463B52" w:rsidRPr="00463B52" w:rsidRDefault="00516AE3" w:rsidP="00463B52">
      <w:pPr>
        <w:pStyle w:val="StandardWeb"/>
        <w:jc w:val="both"/>
        <w:rPr>
          <w:lang w:val="en-GB"/>
        </w:rPr>
      </w:pPr>
      <w:r w:rsidRPr="00CC7BE4">
        <w:rPr>
          <w:b/>
          <w:lang w:val="en-GB"/>
        </w:rPr>
        <w:t>Abstract:</w:t>
      </w:r>
      <w:r w:rsidR="00835962" w:rsidRPr="00CC7BE4">
        <w:rPr>
          <w:b/>
          <w:lang w:val="en-GB"/>
        </w:rPr>
        <w:t xml:space="preserve"> </w:t>
      </w:r>
      <w:r w:rsidR="004E7229">
        <w:rPr>
          <w:rFonts w:ascii="Calibri" w:hAnsi="Calibri"/>
          <w:color w:val="2F5597"/>
          <w:lang w:val="en-GB"/>
        </w:rPr>
        <w:br/>
      </w:r>
      <w:r w:rsidR="00463B52" w:rsidRPr="00463B52">
        <w:rPr>
          <w:lang w:val="en-GB"/>
        </w:rPr>
        <w:t>There is empirical evidence that households use residential houses as status goods. Their visibility qualifies them as an excellent signaling device of the relative income and wealth position, in contrast to less visible financial assets. To this end we introduce a residential housing sector and status concerns for housing into a neoclassical framework. In the model, households derive utility from the absol</w:t>
      </w:r>
      <w:r w:rsidR="006A3C36">
        <w:rPr>
          <w:lang w:val="en-GB"/>
        </w:rPr>
        <w:t xml:space="preserve">ute amount of housing and from comparing their stock of </w:t>
      </w:r>
      <w:r w:rsidR="00463B52" w:rsidRPr="00463B52">
        <w:rPr>
          <w:lang w:val="en-GB"/>
        </w:rPr>
        <w:t>housing to a reference stock, which is composed of the cu</w:t>
      </w:r>
      <w:r w:rsidR="006A3C36">
        <w:rPr>
          <w:lang w:val="en-GB"/>
        </w:rPr>
        <w:t>rrent or past level of housing </w:t>
      </w:r>
      <w:r w:rsidR="00463B52" w:rsidRPr="00463B52">
        <w:rPr>
          <w:lang w:val="en-GB"/>
        </w:rPr>
        <w:t>of their peers. We analyze how status concerns affect household behavior and find that </w:t>
      </w:r>
      <w:r w:rsidR="006A3C36">
        <w:rPr>
          <w:lang w:val="en-GB"/>
        </w:rPr>
        <w:t>they increase housing demand </w:t>
      </w:r>
      <w:r w:rsidR="00463B52" w:rsidRPr="00463B52">
        <w:rPr>
          <w:lang w:val="en-GB"/>
        </w:rPr>
        <w:t>and labor supply.  Furthermore, we find that status concerns exert a negative externality and elevate housing to inefficiently high levels. We derive a (state contingent) optimal tax that establishes the first-best allocation along the transition path and at the steady state. Calibrating the model to the US we quantify the optimal tax on residential housing to 1.8%. Introducing the optimal tax entails a considerable welfare gain of 0.29% measured in consumption equivalents.</w:t>
      </w:r>
    </w:p>
    <w:p w:rsidR="00C45CDD" w:rsidRPr="00463B52" w:rsidRDefault="00C45CDD" w:rsidP="00C45CDD">
      <w:pPr>
        <w:pStyle w:val="Text"/>
        <w:rPr>
          <w:sz w:val="24"/>
          <w:szCs w:val="24"/>
          <w:lang w:val="en-GB"/>
        </w:rPr>
      </w:pPr>
    </w:p>
    <w:p w:rsidR="00E56888" w:rsidRPr="00C45CDD" w:rsidRDefault="00E56888" w:rsidP="00C45CDD">
      <w:pPr>
        <w:spacing w:after="120"/>
        <w:rPr>
          <w:rFonts w:eastAsiaTheme="minorEastAsia"/>
          <w:i w:val="0"/>
          <w:color w:val="auto"/>
          <w:sz w:val="20"/>
          <w:szCs w:val="20"/>
          <w:lang w:val="en-US"/>
        </w:rPr>
      </w:pPr>
    </w:p>
    <w:p w:rsidR="004E7229" w:rsidRPr="00B3110D" w:rsidRDefault="004E7229" w:rsidP="004E7229">
      <w:pPr>
        <w:autoSpaceDE w:val="0"/>
        <w:autoSpaceDN w:val="0"/>
        <w:adjustRightInd w:val="0"/>
        <w:spacing w:after="0" w:line="240" w:lineRule="auto"/>
        <w:rPr>
          <w:rFonts w:eastAsiaTheme="minorEastAsia"/>
          <w:i w:val="0"/>
          <w:color w:val="auto"/>
          <w:sz w:val="20"/>
          <w:szCs w:val="20"/>
          <w:lang w:val="en-GB"/>
        </w:rPr>
      </w:pPr>
    </w:p>
    <w:p w:rsidR="00FC5C3A" w:rsidRDefault="009E664B" w:rsidP="002C6DF5">
      <w:pPr>
        <w:tabs>
          <w:tab w:val="left" w:pos="1276"/>
          <w:tab w:val="center" w:pos="3626"/>
        </w:tabs>
        <w:spacing w:after="435" w:line="259" w:lineRule="auto"/>
        <w:jc w:val="left"/>
      </w:pPr>
      <w:r>
        <w:rPr>
          <w:rFonts w:ascii="Arial" w:eastAsia="Arial" w:hAnsi="Arial" w:cs="Arial"/>
          <w:b/>
          <w:i w:val="0"/>
          <w:color w:val="000000"/>
          <w:sz w:val="32"/>
        </w:rPr>
        <w:t>Zeit:</w:t>
      </w:r>
      <w:r>
        <w:rPr>
          <w:rFonts w:ascii="Arial" w:eastAsia="Arial" w:hAnsi="Arial" w:cs="Arial"/>
          <w:b/>
          <w:i w:val="0"/>
          <w:color w:val="000000"/>
          <w:sz w:val="32"/>
        </w:rPr>
        <w:tab/>
      </w:r>
      <w:r w:rsidR="002C6DF5">
        <w:rPr>
          <w:rFonts w:ascii="Arial" w:eastAsia="Arial" w:hAnsi="Arial" w:cs="Arial"/>
          <w:b/>
          <w:i w:val="0"/>
          <w:color w:val="000000"/>
          <w:sz w:val="32"/>
        </w:rPr>
        <w:t xml:space="preserve">  </w:t>
      </w:r>
      <w:r w:rsidR="00463B52">
        <w:rPr>
          <w:rFonts w:ascii="Arial" w:eastAsia="Arial" w:hAnsi="Arial" w:cs="Arial"/>
          <w:i w:val="0"/>
          <w:color w:val="000000"/>
          <w:sz w:val="32"/>
        </w:rPr>
        <w:t>Montag, 4</w:t>
      </w:r>
      <w:r w:rsidR="00C45CDD">
        <w:rPr>
          <w:rFonts w:ascii="Arial" w:eastAsia="Arial" w:hAnsi="Arial" w:cs="Arial"/>
          <w:i w:val="0"/>
          <w:color w:val="000000"/>
          <w:sz w:val="32"/>
        </w:rPr>
        <w:t>.12</w:t>
      </w:r>
      <w:r w:rsidR="004868C1">
        <w:rPr>
          <w:rFonts w:ascii="Arial" w:eastAsia="Arial" w:hAnsi="Arial" w:cs="Arial"/>
          <w:i w:val="0"/>
          <w:color w:val="000000"/>
          <w:sz w:val="32"/>
        </w:rPr>
        <w:t>.2017</w:t>
      </w:r>
      <w:r w:rsidR="003A4F55">
        <w:rPr>
          <w:rFonts w:ascii="Arial" w:eastAsia="Arial" w:hAnsi="Arial" w:cs="Arial"/>
          <w:i w:val="0"/>
          <w:color w:val="000000"/>
          <w:sz w:val="32"/>
        </w:rPr>
        <w:t>, 17</w:t>
      </w:r>
      <w:r w:rsidR="00835962">
        <w:rPr>
          <w:rFonts w:ascii="Arial" w:eastAsia="Arial" w:hAnsi="Arial" w:cs="Arial"/>
          <w:i w:val="0"/>
          <w:color w:val="000000"/>
          <w:sz w:val="32"/>
        </w:rPr>
        <w:t>:0</w:t>
      </w:r>
      <w:r w:rsidR="00D3536C">
        <w:rPr>
          <w:rFonts w:ascii="Arial" w:eastAsia="Arial" w:hAnsi="Arial" w:cs="Arial"/>
          <w:i w:val="0"/>
          <w:color w:val="000000"/>
          <w:sz w:val="32"/>
        </w:rPr>
        <w:t xml:space="preserve">0 Uhr </w:t>
      </w:r>
    </w:p>
    <w:p w:rsidR="00FC5C3A" w:rsidRDefault="00835962" w:rsidP="002C6DF5">
      <w:pPr>
        <w:tabs>
          <w:tab w:val="left" w:pos="1418"/>
          <w:tab w:val="center" w:pos="4879"/>
        </w:tabs>
        <w:spacing w:after="0" w:line="259" w:lineRule="auto"/>
        <w:ind w:left="1416" w:hanging="1416"/>
        <w:jc w:val="left"/>
      </w:pPr>
      <w:r>
        <w:rPr>
          <w:rFonts w:ascii="Arial" w:eastAsia="Arial" w:hAnsi="Arial" w:cs="Arial"/>
          <w:b/>
          <w:i w:val="0"/>
          <w:color w:val="000000"/>
          <w:sz w:val="32"/>
        </w:rPr>
        <w:t xml:space="preserve">Ort: </w:t>
      </w:r>
      <w:r>
        <w:rPr>
          <w:rFonts w:ascii="Arial" w:eastAsia="Arial" w:hAnsi="Arial" w:cs="Arial"/>
          <w:b/>
          <w:i w:val="0"/>
          <w:color w:val="000000"/>
          <w:sz w:val="32"/>
        </w:rPr>
        <w:tab/>
      </w:r>
      <w:r w:rsidR="00D3536C">
        <w:rPr>
          <w:rFonts w:ascii="Arial" w:eastAsia="Arial" w:hAnsi="Arial" w:cs="Arial"/>
          <w:i w:val="0"/>
          <w:color w:val="000000"/>
          <w:sz w:val="32"/>
        </w:rPr>
        <w:t xml:space="preserve">TU Wien, </w:t>
      </w:r>
      <w:hyperlink r:id="rId4" w:tgtFrame="_blank" w:history="1">
        <w:r w:rsidR="003820DF" w:rsidRPr="003820DF">
          <w:rPr>
            <w:rFonts w:ascii="Arial" w:eastAsia="Arial" w:hAnsi="Arial" w:cs="Arial"/>
            <w:i w:val="0"/>
            <w:color w:val="000000"/>
            <w:sz w:val="32"/>
          </w:rPr>
          <w:t>Sem.R. DB gelb 04</w:t>
        </w:r>
      </w:hyperlink>
      <w:r w:rsidR="002C6DF5">
        <w:rPr>
          <w:rFonts w:ascii="Arial" w:eastAsia="Arial" w:hAnsi="Arial" w:cs="Arial"/>
          <w:i w:val="0"/>
          <w:color w:val="000000"/>
          <w:sz w:val="32"/>
        </w:rPr>
        <w:br/>
      </w:r>
      <w:r w:rsidR="009E664B">
        <w:rPr>
          <w:rFonts w:ascii="Arial" w:eastAsia="Arial" w:hAnsi="Arial" w:cs="Arial"/>
          <w:i w:val="0"/>
          <w:color w:val="000000"/>
          <w:sz w:val="32"/>
        </w:rPr>
        <w:t>(</w:t>
      </w:r>
      <w:r w:rsidR="003820DF">
        <w:rPr>
          <w:rFonts w:ascii="Arial" w:eastAsia="Arial" w:hAnsi="Arial" w:cs="Arial"/>
          <w:i w:val="0"/>
          <w:color w:val="000000"/>
          <w:sz w:val="32"/>
        </w:rPr>
        <w:t>Wiedner Hauptstraße 8, gelber Bereich, 4</w:t>
      </w:r>
      <w:r w:rsidR="0000552B">
        <w:rPr>
          <w:rFonts w:ascii="Arial" w:eastAsia="Arial" w:hAnsi="Arial" w:cs="Arial"/>
          <w:i w:val="0"/>
          <w:color w:val="000000"/>
          <w:sz w:val="32"/>
        </w:rPr>
        <w:t>. Stock</w:t>
      </w:r>
      <w:r w:rsidR="009E664B">
        <w:rPr>
          <w:rFonts w:ascii="Arial" w:eastAsia="Arial" w:hAnsi="Arial" w:cs="Arial"/>
          <w:i w:val="0"/>
          <w:color w:val="000000"/>
          <w:sz w:val="32"/>
        </w:rPr>
        <w:t>)</w:t>
      </w:r>
      <w:r w:rsidR="00B16DDB">
        <w:rPr>
          <w:rFonts w:ascii="Arial" w:eastAsia="Arial" w:hAnsi="Arial" w:cs="Arial"/>
          <w:i w:val="0"/>
          <w:color w:val="000000"/>
          <w:sz w:val="32"/>
        </w:rPr>
        <w:t xml:space="preserve"> </w:t>
      </w:r>
      <w:r w:rsidR="00B16DDB">
        <w:rPr>
          <w:rFonts w:ascii="Arial" w:eastAsia="Arial" w:hAnsi="Arial" w:cs="Arial"/>
          <w:i w:val="0"/>
          <w:color w:val="000000"/>
          <w:sz w:val="32"/>
        </w:rPr>
        <w:br/>
        <w:t xml:space="preserve">              </w:t>
      </w:r>
    </w:p>
    <w:sectPr w:rsidR="00FC5C3A" w:rsidSect="004E7229">
      <w:pgSz w:w="11906" w:h="16838"/>
      <w:pgMar w:top="851"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3A"/>
    <w:rsid w:val="0000552B"/>
    <w:rsid w:val="00006860"/>
    <w:rsid w:val="00082037"/>
    <w:rsid w:val="001113D7"/>
    <w:rsid w:val="001B115E"/>
    <w:rsid w:val="001E1C8B"/>
    <w:rsid w:val="001F1F43"/>
    <w:rsid w:val="00220CC0"/>
    <w:rsid w:val="002C2C23"/>
    <w:rsid w:val="002C6DF5"/>
    <w:rsid w:val="002E60D8"/>
    <w:rsid w:val="0035047A"/>
    <w:rsid w:val="003820DF"/>
    <w:rsid w:val="003A4F55"/>
    <w:rsid w:val="003A7E1E"/>
    <w:rsid w:val="003D7DA5"/>
    <w:rsid w:val="00406579"/>
    <w:rsid w:val="004214BF"/>
    <w:rsid w:val="00423FC3"/>
    <w:rsid w:val="004267B2"/>
    <w:rsid w:val="004422AC"/>
    <w:rsid w:val="004452DF"/>
    <w:rsid w:val="00463B52"/>
    <w:rsid w:val="004868C1"/>
    <w:rsid w:val="00494EA3"/>
    <w:rsid w:val="004E7229"/>
    <w:rsid w:val="00516AE3"/>
    <w:rsid w:val="0052209B"/>
    <w:rsid w:val="00526FCE"/>
    <w:rsid w:val="005544A3"/>
    <w:rsid w:val="00595776"/>
    <w:rsid w:val="005F5C62"/>
    <w:rsid w:val="00694FDB"/>
    <w:rsid w:val="006A3C36"/>
    <w:rsid w:val="006B7CF3"/>
    <w:rsid w:val="006D475B"/>
    <w:rsid w:val="006F0C69"/>
    <w:rsid w:val="00712390"/>
    <w:rsid w:val="007F74B1"/>
    <w:rsid w:val="008338D2"/>
    <w:rsid w:val="00835962"/>
    <w:rsid w:val="00862396"/>
    <w:rsid w:val="00877EF5"/>
    <w:rsid w:val="008E4EE6"/>
    <w:rsid w:val="008F12E2"/>
    <w:rsid w:val="00963CD1"/>
    <w:rsid w:val="0098312F"/>
    <w:rsid w:val="009E664B"/>
    <w:rsid w:val="00A52C58"/>
    <w:rsid w:val="00AA65D9"/>
    <w:rsid w:val="00AD4D5C"/>
    <w:rsid w:val="00B00AC6"/>
    <w:rsid w:val="00B013E5"/>
    <w:rsid w:val="00B16DDB"/>
    <w:rsid w:val="00B3110D"/>
    <w:rsid w:val="00B71121"/>
    <w:rsid w:val="00B711ED"/>
    <w:rsid w:val="00B83F68"/>
    <w:rsid w:val="00BA0BA2"/>
    <w:rsid w:val="00C45CDD"/>
    <w:rsid w:val="00CC7BE4"/>
    <w:rsid w:val="00CD7FB2"/>
    <w:rsid w:val="00CF1EBC"/>
    <w:rsid w:val="00D13031"/>
    <w:rsid w:val="00D3536C"/>
    <w:rsid w:val="00D567FC"/>
    <w:rsid w:val="00D947B4"/>
    <w:rsid w:val="00DC0187"/>
    <w:rsid w:val="00DC1FCC"/>
    <w:rsid w:val="00E1489D"/>
    <w:rsid w:val="00E5470B"/>
    <w:rsid w:val="00E56888"/>
    <w:rsid w:val="00EB4010"/>
    <w:rsid w:val="00EF699A"/>
    <w:rsid w:val="00F07591"/>
    <w:rsid w:val="00F77AFE"/>
    <w:rsid w:val="00F92D03"/>
    <w:rsid w:val="00FC5C3A"/>
    <w:rsid w:val="00FE7B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DE5B4-7139-4808-8252-8F47778E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572" w:line="238" w:lineRule="auto"/>
      <w:jc w:val="both"/>
    </w:pPr>
    <w:rPr>
      <w:rFonts w:ascii="Times New Roman" w:eastAsia="Times New Roman" w:hAnsi="Times New Roman" w:cs="Times New Roman"/>
      <w:i/>
      <w:color w:val="0F1111"/>
      <w:sz w:val="24"/>
    </w:rPr>
  </w:style>
  <w:style w:type="paragraph" w:styleId="berschrift1">
    <w:name w:val="heading 1"/>
    <w:next w:val="Standard"/>
    <w:link w:val="berschrift1Zchn"/>
    <w:uiPriority w:val="9"/>
    <w:unhideWhenUsed/>
    <w:qFormat/>
    <w:pPr>
      <w:keepNext/>
      <w:keepLines/>
      <w:spacing w:after="0" w:line="265" w:lineRule="auto"/>
      <w:ind w:left="2342" w:right="2337" w:hanging="10"/>
      <w:jc w:val="center"/>
      <w:outlineLvl w:val="0"/>
    </w:pPr>
    <w:rPr>
      <w:rFonts w:ascii="Arial" w:eastAsia="Arial" w:hAnsi="Arial" w:cs="Arial"/>
      <w:b/>
      <w:color w:val="00CCFF"/>
      <w:sz w:val="4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CCFF"/>
      <w:sz w:val="44"/>
    </w:rPr>
  </w:style>
  <w:style w:type="paragraph" w:customStyle="1" w:styleId="Default">
    <w:name w:val="Default"/>
    <w:rsid w:val="00516AE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Absatz-Standardschriftart"/>
    <w:uiPriority w:val="99"/>
    <w:semiHidden/>
    <w:unhideWhenUsed/>
    <w:rsid w:val="003820DF"/>
    <w:rPr>
      <w:color w:val="0000FF"/>
      <w:u w:val="single"/>
    </w:rPr>
  </w:style>
  <w:style w:type="paragraph" w:customStyle="1" w:styleId="Text">
    <w:name w:val="Text"/>
    <w:basedOn w:val="Standard"/>
    <w:link w:val="TextZchn"/>
    <w:rsid w:val="00C45CDD"/>
    <w:pPr>
      <w:spacing w:after="240" w:line="260" w:lineRule="exact"/>
    </w:pPr>
    <w:rPr>
      <w:i w:val="0"/>
      <w:color w:val="auto"/>
      <w:sz w:val="22"/>
      <w:lang w:eastAsia="de-AT"/>
    </w:rPr>
  </w:style>
  <w:style w:type="character" w:customStyle="1" w:styleId="TextZchn">
    <w:name w:val="Text Zchn"/>
    <w:basedOn w:val="Absatz-Standardschriftart"/>
    <w:link w:val="Text"/>
    <w:rsid w:val="00C45CDD"/>
    <w:rPr>
      <w:rFonts w:ascii="Times New Roman" w:eastAsia="Times New Roman" w:hAnsi="Times New Roman" w:cs="Times New Roman"/>
      <w:lang w:eastAsia="de-AT"/>
    </w:rPr>
  </w:style>
  <w:style w:type="paragraph" w:styleId="StandardWeb">
    <w:name w:val="Normal (Web)"/>
    <w:basedOn w:val="Standard"/>
    <w:uiPriority w:val="99"/>
    <w:semiHidden/>
    <w:unhideWhenUsed/>
    <w:rsid w:val="00463B52"/>
    <w:pPr>
      <w:spacing w:before="100" w:beforeAutospacing="1" w:after="100" w:afterAutospacing="1" w:line="240" w:lineRule="auto"/>
      <w:jc w:val="left"/>
    </w:pPr>
    <w:rPr>
      <w:rFonts w:eastAsiaTheme="minorHAnsi"/>
      <w:i w:val="0"/>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28886">
      <w:bodyDiv w:val="1"/>
      <w:marLeft w:val="0"/>
      <w:marRight w:val="0"/>
      <w:marTop w:val="0"/>
      <w:marBottom w:val="0"/>
      <w:divBdr>
        <w:top w:val="none" w:sz="0" w:space="0" w:color="auto"/>
        <w:left w:val="none" w:sz="0" w:space="0" w:color="auto"/>
        <w:bottom w:val="none" w:sz="0" w:space="0" w:color="auto"/>
        <w:right w:val="none" w:sz="0" w:space="0" w:color="auto"/>
      </w:divBdr>
    </w:div>
    <w:div w:id="528951039">
      <w:bodyDiv w:val="1"/>
      <w:marLeft w:val="0"/>
      <w:marRight w:val="0"/>
      <w:marTop w:val="0"/>
      <w:marBottom w:val="0"/>
      <w:divBdr>
        <w:top w:val="none" w:sz="0" w:space="0" w:color="auto"/>
        <w:left w:val="none" w:sz="0" w:space="0" w:color="auto"/>
        <w:bottom w:val="none" w:sz="0" w:space="0" w:color="auto"/>
        <w:right w:val="none" w:sz="0" w:space="0" w:color="auto"/>
      </w:divBdr>
    </w:div>
    <w:div w:id="963341438">
      <w:bodyDiv w:val="1"/>
      <w:marLeft w:val="0"/>
      <w:marRight w:val="0"/>
      <w:marTop w:val="0"/>
      <w:marBottom w:val="0"/>
      <w:divBdr>
        <w:top w:val="none" w:sz="0" w:space="0" w:color="auto"/>
        <w:left w:val="none" w:sz="0" w:space="0" w:color="auto"/>
        <w:bottom w:val="none" w:sz="0" w:space="0" w:color="auto"/>
        <w:right w:val="none" w:sz="0" w:space="0" w:color="auto"/>
      </w:divBdr>
    </w:div>
    <w:div w:id="1087921817">
      <w:bodyDiv w:val="1"/>
      <w:marLeft w:val="0"/>
      <w:marRight w:val="0"/>
      <w:marTop w:val="0"/>
      <w:marBottom w:val="0"/>
      <w:divBdr>
        <w:top w:val="none" w:sz="0" w:space="0" w:color="auto"/>
        <w:left w:val="none" w:sz="0" w:space="0" w:color="auto"/>
        <w:bottom w:val="none" w:sz="0" w:space="0" w:color="auto"/>
        <w:right w:val="none" w:sz="0" w:space="0" w:color="auto"/>
      </w:divBdr>
    </w:div>
    <w:div w:id="1886789132">
      <w:bodyDiv w:val="1"/>
      <w:marLeft w:val="0"/>
      <w:marRight w:val="0"/>
      <w:marTop w:val="0"/>
      <w:marBottom w:val="0"/>
      <w:divBdr>
        <w:top w:val="none" w:sz="0" w:space="0" w:color="auto"/>
        <w:left w:val="none" w:sz="0" w:space="0" w:color="auto"/>
        <w:bottom w:val="none" w:sz="0" w:space="0" w:color="auto"/>
        <w:right w:val="none" w:sz="0" w:space="0" w:color="auto"/>
      </w:divBdr>
    </w:div>
    <w:div w:id="1969122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iss.tuwien.ac.at/events/roomSchedule.xhtml?windowId=805&amp;roomCode=105A&amp;initialDate=20151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TU Wien - Campusversion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c:creator>
  <cp:keywords/>
  <cp:lastModifiedBy>Brigitte Schneider</cp:lastModifiedBy>
  <cp:revision>2</cp:revision>
  <cp:lastPrinted>2017-10-20T12:26:00Z</cp:lastPrinted>
  <dcterms:created xsi:type="dcterms:W3CDTF">2017-10-24T08:18:00Z</dcterms:created>
  <dcterms:modified xsi:type="dcterms:W3CDTF">2017-10-24T08:18:00Z</dcterms:modified>
</cp:coreProperties>
</file>