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A1C98" w14:textId="77777777" w:rsidR="00C8357D" w:rsidRDefault="00C8357D">
      <w:pPr>
        <w:jc w:val="center"/>
        <w:rPr>
          <w:rFonts w:ascii="Times" w:hAnsi="Times"/>
          <w:b/>
        </w:rPr>
      </w:pPr>
      <w:bookmarkStart w:id="0" w:name="_GoBack"/>
      <w:bookmarkEnd w:id="0"/>
    </w:p>
    <w:p w14:paraId="09A79A1C" w14:textId="62879AF6" w:rsidR="00C8357D" w:rsidRDefault="00C8357D">
      <w:pPr>
        <w:jc w:val="center"/>
        <w:rPr>
          <w:rFonts w:ascii="Times" w:hAnsi="Times"/>
        </w:rPr>
      </w:pPr>
      <w:r>
        <w:rPr>
          <w:rFonts w:ascii="Times" w:hAnsi="Times"/>
          <w:b/>
        </w:rPr>
        <w:t>Course Outline</w:t>
      </w:r>
    </w:p>
    <w:p w14:paraId="2B205B00" w14:textId="57148C51" w:rsidR="00C8357D" w:rsidRPr="0065466A" w:rsidRDefault="00C8357D">
      <w:pPr>
        <w:jc w:val="center"/>
        <w:rPr>
          <w:rFonts w:ascii="Times" w:hAnsi="Times"/>
          <w:b/>
          <w:color w:val="000000"/>
        </w:rPr>
      </w:pPr>
      <w:r w:rsidRPr="0065466A">
        <w:rPr>
          <w:rFonts w:ascii="Times" w:hAnsi="Times"/>
          <w:b/>
          <w:color w:val="000000"/>
        </w:rPr>
        <w:t>Agricultural Political Economy</w:t>
      </w:r>
    </w:p>
    <w:p w14:paraId="134FEB17" w14:textId="018AB71F" w:rsidR="00C8357D" w:rsidRDefault="009C3C21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Spring</w:t>
      </w:r>
      <w:r w:rsidR="00B605EF">
        <w:rPr>
          <w:rFonts w:ascii="Times" w:hAnsi="Times"/>
          <w:b/>
        </w:rPr>
        <w:t xml:space="preserve"> 201</w:t>
      </w:r>
      <w:r w:rsidR="00565D96">
        <w:rPr>
          <w:rFonts w:ascii="Times" w:hAnsi="Times"/>
          <w:b/>
        </w:rPr>
        <w:t>6</w:t>
      </w:r>
    </w:p>
    <w:p w14:paraId="007C042B" w14:textId="77777777" w:rsidR="00C8357D" w:rsidRDefault="00C8357D" w:rsidP="005E72E0">
      <w:pPr>
        <w:ind w:left="720" w:hanging="720"/>
        <w:rPr>
          <w:rFonts w:ascii="Times" w:hAnsi="Times"/>
        </w:rPr>
      </w:pPr>
    </w:p>
    <w:p w14:paraId="30B8A922" w14:textId="77777777" w:rsidR="00C8357D" w:rsidRDefault="00C8357D">
      <w:pPr>
        <w:tabs>
          <w:tab w:val="left" w:pos="440"/>
        </w:tabs>
        <w:rPr>
          <w:rFonts w:ascii="Times" w:hAnsi="Times"/>
        </w:rPr>
      </w:pPr>
      <w:r>
        <w:rPr>
          <w:rFonts w:ascii="Times" w:hAnsi="Times"/>
        </w:rPr>
        <w:t>Professor:  David S. Bullock</w:t>
      </w:r>
    </w:p>
    <w:p w14:paraId="5DF05239" w14:textId="74906535" w:rsidR="00C8357D" w:rsidRDefault="00C8357D">
      <w:pPr>
        <w:tabs>
          <w:tab w:val="left" w:pos="440"/>
        </w:tabs>
        <w:rPr>
          <w:rFonts w:ascii="Times" w:hAnsi="Times"/>
        </w:rPr>
      </w:pPr>
      <w:r>
        <w:rPr>
          <w:rFonts w:ascii="Times" w:hAnsi="Times"/>
        </w:rPr>
        <w:t>e-mail:  dsbulloc@</w:t>
      </w:r>
      <w:r w:rsidR="00565D96">
        <w:rPr>
          <w:rFonts w:ascii="Times" w:hAnsi="Times"/>
        </w:rPr>
        <w:t>illinois</w:t>
      </w:r>
      <w:r>
        <w:rPr>
          <w:rFonts w:ascii="Times" w:hAnsi="Times"/>
        </w:rPr>
        <w:t>.edu</w:t>
      </w:r>
    </w:p>
    <w:p w14:paraId="41169B7F" w14:textId="77777777" w:rsidR="00E32979" w:rsidRPr="00814770" w:rsidRDefault="00E32979" w:rsidP="00E32979">
      <w:pPr>
        <w:rPr>
          <w:lang w:val="en-GB"/>
        </w:rPr>
      </w:pPr>
    </w:p>
    <w:p w14:paraId="04052EFF" w14:textId="5A221562" w:rsidR="00C27DF5" w:rsidRPr="00386EE4" w:rsidRDefault="00C27DF5" w:rsidP="00C27DF5">
      <w:pPr>
        <w:tabs>
          <w:tab w:val="left" w:pos="440"/>
        </w:tabs>
        <w:rPr>
          <w:rFonts w:ascii="Times" w:hAnsi="Times"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  <w:t>Course Description</w:t>
      </w:r>
    </w:p>
    <w:p w14:paraId="76E08C56" w14:textId="584D1542" w:rsidR="00C27DF5" w:rsidRDefault="00C27DF5" w:rsidP="00E006AB">
      <w:pPr>
        <w:tabs>
          <w:tab w:val="left" w:pos="440"/>
        </w:tabs>
        <w:rPr>
          <w:color w:val="FF0000"/>
          <w:szCs w:val="24"/>
        </w:rPr>
      </w:pPr>
      <w:r w:rsidRPr="00C27DF5">
        <w:rPr>
          <w:szCs w:val="24"/>
        </w:rPr>
        <w:t>This course</w:t>
      </w:r>
      <w:r w:rsidR="009F546B">
        <w:rPr>
          <w:szCs w:val="24"/>
        </w:rPr>
        <w:t xml:space="preserve"> will be an </w:t>
      </w:r>
      <w:r>
        <w:rPr>
          <w:szCs w:val="24"/>
        </w:rPr>
        <w:t>intensive overview of different elements of political economy theory</w:t>
      </w:r>
      <w:r w:rsidR="00436B66">
        <w:rPr>
          <w:szCs w:val="24"/>
        </w:rPr>
        <w:t>,</w:t>
      </w:r>
      <w:r>
        <w:rPr>
          <w:szCs w:val="24"/>
        </w:rPr>
        <w:t xml:space="preserve"> and agricultural political economy theory in particular.  Our theoretical focus will</w:t>
      </w:r>
      <w:r w:rsidR="00EB72E8">
        <w:rPr>
          <w:szCs w:val="24"/>
        </w:rPr>
        <w:t xml:space="preserve"> go back roughly one generation.  We will begin with Tullock’s (1980) </w:t>
      </w:r>
      <w:r>
        <w:rPr>
          <w:szCs w:val="24"/>
        </w:rPr>
        <w:t xml:space="preserve">now classic </w:t>
      </w:r>
      <w:r w:rsidR="00EB72E8">
        <w:rPr>
          <w:szCs w:val="24"/>
        </w:rPr>
        <w:t xml:space="preserve">rent-dissipation model and the interest group model of </w:t>
      </w:r>
      <w:r>
        <w:rPr>
          <w:szCs w:val="24"/>
        </w:rPr>
        <w:t>Becker (1983)</w:t>
      </w:r>
      <w:r w:rsidR="00EB72E8">
        <w:rPr>
          <w:szCs w:val="24"/>
        </w:rPr>
        <w:t>, both of which</w:t>
      </w:r>
      <w:r>
        <w:rPr>
          <w:szCs w:val="24"/>
        </w:rPr>
        <w:t xml:space="preserve"> continue to have heavy influence on how economists thin</w:t>
      </w:r>
      <w:r w:rsidR="00EB72E8">
        <w:rPr>
          <w:szCs w:val="24"/>
        </w:rPr>
        <w:t>k about politics and government.  We will continue from there to examine</w:t>
      </w:r>
      <w:r>
        <w:rPr>
          <w:szCs w:val="24"/>
        </w:rPr>
        <w:t xml:space="preserve"> the </w:t>
      </w:r>
      <w:r w:rsidR="00EB72E8">
        <w:rPr>
          <w:szCs w:val="24"/>
        </w:rPr>
        <w:t>very commonly used interest group model of Grossman and Helpman (1994).  We will finish</w:t>
      </w:r>
      <w:r>
        <w:rPr>
          <w:szCs w:val="24"/>
        </w:rPr>
        <w:t xml:space="preserve"> </w:t>
      </w:r>
      <w:r w:rsidR="00EB72E8">
        <w:rPr>
          <w:szCs w:val="24"/>
        </w:rPr>
        <w:t>with</w:t>
      </w:r>
      <w:r>
        <w:rPr>
          <w:szCs w:val="24"/>
        </w:rPr>
        <w:t xml:space="preserve"> the model by Persson and Tabellini (2004) that focuses on the effects of institutional and constitutiona</w:t>
      </w:r>
      <w:r w:rsidR="007F2723">
        <w:rPr>
          <w:szCs w:val="24"/>
        </w:rPr>
        <w:t>l</w:t>
      </w:r>
      <w:r w:rsidR="00EB72E8">
        <w:rPr>
          <w:szCs w:val="24"/>
        </w:rPr>
        <w:t xml:space="preserve"> foundations of policy</w:t>
      </w:r>
      <w:r w:rsidR="007F2723">
        <w:rPr>
          <w:szCs w:val="24"/>
        </w:rPr>
        <w:t xml:space="preserve">making. </w:t>
      </w:r>
      <w:r w:rsidR="00EB72E8">
        <w:rPr>
          <w:szCs w:val="24"/>
        </w:rPr>
        <w:t xml:space="preserve"> </w:t>
      </w:r>
      <w:r w:rsidR="00C62F9C">
        <w:rPr>
          <w:szCs w:val="24"/>
        </w:rPr>
        <w:t xml:space="preserve">We will also read and discuss papers that </w:t>
      </w:r>
      <w:r w:rsidR="00436B66">
        <w:rPr>
          <w:szCs w:val="24"/>
        </w:rPr>
        <w:t xml:space="preserve">can be examined in the frameworks </w:t>
      </w:r>
      <w:r w:rsidR="00C62F9C">
        <w:rPr>
          <w:szCs w:val="24"/>
        </w:rPr>
        <w:t xml:space="preserve">of these four theoretical models.  </w:t>
      </w:r>
      <w:r w:rsidR="00271513">
        <w:rPr>
          <w:szCs w:val="24"/>
        </w:rPr>
        <w:t xml:space="preserve">Most </w:t>
      </w:r>
      <w:r w:rsidR="00C62F9C">
        <w:rPr>
          <w:szCs w:val="24"/>
        </w:rPr>
        <w:t>of those papers will come from Anderson, et al. (2010), which does an excellent job of examining the current situations in the world’s agricultural political economy.</w:t>
      </w:r>
    </w:p>
    <w:p w14:paraId="6B34F531" w14:textId="77777777" w:rsidR="00C27DF5" w:rsidRDefault="00C27DF5" w:rsidP="00E006AB">
      <w:pPr>
        <w:tabs>
          <w:tab w:val="left" w:pos="440"/>
        </w:tabs>
        <w:rPr>
          <w:rFonts w:ascii="Times" w:hAnsi="Times"/>
        </w:rPr>
      </w:pPr>
    </w:p>
    <w:p w14:paraId="47141204" w14:textId="534A4C45" w:rsidR="00E35F04" w:rsidRPr="00386EE4" w:rsidRDefault="00E35F04" w:rsidP="00E006AB">
      <w:pPr>
        <w:tabs>
          <w:tab w:val="left" w:pos="440"/>
        </w:tabs>
        <w:rPr>
          <w:rFonts w:ascii="Times" w:hAnsi="Times"/>
          <w:b/>
          <w:sz w:val="32"/>
          <w:szCs w:val="32"/>
        </w:rPr>
      </w:pPr>
      <w:r w:rsidRPr="00E35F04">
        <w:rPr>
          <w:rFonts w:ascii="Times" w:hAnsi="Times"/>
          <w:b/>
          <w:sz w:val="32"/>
          <w:szCs w:val="32"/>
        </w:rPr>
        <w:t>Desired Learning Outcomes</w:t>
      </w:r>
    </w:p>
    <w:p w14:paraId="2A28AA6C" w14:textId="33035AB5" w:rsidR="00E35F04" w:rsidRPr="00E35F04" w:rsidRDefault="00E35F04" w:rsidP="00E35F04">
      <w:pPr>
        <w:widowControl w:val="0"/>
        <w:autoSpaceDE w:val="0"/>
        <w:autoSpaceDN w:val="0"/>
        <w:adjustRightInd w:val="0"/>
        <w:rPr>
          <w:rFonts w:ascii="Times New Roman" w:hAnsi="Times New Roman" w:cs="Calibri"/>
          <w:szCs w:val="24"/>
        </w:rPr>
      </w:pPr>
      <w:r w:rsidRPr="00E35F04">
        <w:rPr>
          <w:rFonts w:ascii="Times New Roman" w:hAnsi="Times New Roman" w:cs="Calibri"/>
          <w:szCs w:val="24"/>
        </w:rPr>
        <w:t>Upon successful completion of this module, students</w:t>
      </w:r>
      <w:r>
        <w:rPr>
          <w:rFonts w:ascii="Times New Roman" w:hAnsi="Times New Roman" w:cs="Calibri"/>
          <w:szCs w:val="24"/>
        </w:rPr>
        <w:t xml:space="preserve"> should</w:t>
      </w:r>
    </w:p>
    <w:p w14:paraId="6B9786AB" w14:textId="3D12AC1D" w:rsidR="00E35F04" w:rsidRDefault="00E35F04" w:rsidP="00E35F04">
      <w:pPr>
        <w:pStyle w:val="Listenabsatz"/>
        <w:widowControl w:val="0"/>
        <w:numPr>
          <w:ilvl w:val="0"/>
          <w:numId w:val="5"/>
        </w:numPr>
        <w:autoSpaceDE w:val="0"/>
        <w:autoSpaceDN w:val="0"/>
        <w:adjustRightInd w:val="0"/>
        <w:ind w:left="450"/>
        <w:rPr>
          <w:rFonts w:ascii="Times New Roman" w:hAnsi="Times New Roman" w:cs="Calibri"/>
          <w:szCs w:val="24"/>
        </w:rPr>
      </w:pPr>
      <w:r w:rsidRPr="00E35F04">
        <w:rPr>
          <w:rFonts w:ascii="Times New Roman" w:hAnsi="Times New Roman" w:cs="Calibri"/>
          <w:szCs w:val="24"/>
        </w:rPr>
        <w:t>understand the interrelation</w:t>
      </w:r>
      <w:r>
        <w:rPr>
          <w:rFonts w:ascii="Times New Roman" w:hAnsi="Times New Roman" w:cs="Calibri"/>
          <w:szCs w:val="24"/>
        </w:rPr>
        <w:t>s</w:t>
      </w:r>
      <w:r w:rsidRPr="00E35F04">
        <w:rPr>
          <w:rFonts w:ascii="Times New Roman" w:hAnsi="Times New Roman" w:cs="Calibri"/>
          <w:szCs w:val="24"/>
        </w:rPr>
        <w:t xml:space="preserve"> between </w:t>
      </w:r>
      <w:r>
        <w:rPr>
          <w:rFonts w:ascii="Times New Roman" w:hAnsi="Times New Roman" w:cs="Calibri"/>
          <w:szCs w:val="24"/>
        </w:rPr>
        <w:t xml:space="preserve">the </w:t>
      </w:r>
      <w:r w:rsidRPr="00E35F04">
        <w:rPr>
          <w:rFonts w:ascii="Times New Roman" w:hAnsi="Times New Roman" w:cs="Calibri"/>
          <w:szCs w:val="24"/>
        </w:rPr>
        <w:t>economic outcomes of a policy and the po</w:t>
      </w:r>
      <w:r w:rsidR="00436B66">
        <w:rPr>
          <w:rFonts w:ascii="Times New Roman" w:hAnsi="Times New Roman" w:cs="Calibri"/>
          <w:szCs w:val="24"/>
        </w:rPr>
        <w:t>litical decision-</w:t>
      </w:r>
      <w:r w:rsidRPr="00E35F04">
        <w:rPr>
          <w:rFonts w:ascii="Times New Roman" w:hAnsi="Times New Roman" w:cs="Calibri"/>
          <w:szCs w:val="24"/>
        </w:rPr>
        <w:t>making process;</w:t>
      </w:r>
    </w:p>
    <w:p w14:paraId="1AF15B03" w14:textId="1B233DE0" w:rsidR="00E35F04" w:rsidRDefault="00E35F04" w:rsidP="00E35F04">
      <w:pPr>
        <w:pStyle w:val="Listenabsatz"/>
        <w:widowControl w:val="0"/>
        <w:numPr>
          <w:ilvl w:val="0"/>
          <w:numId w:val="5"/>
        </w:numPr>
        <w:autoSpaceDE w:val="0"/>
        <w:autoSpaceDN w:val="0"/>
        <w:adjustRightInd w:val="0"/>
        <w:ind w:left="450"/>
        <w:rPr>
          <w:rFonts w:ascii="Times New Roman" w:hAnsi="Times New Roman" w:cs="Calibri"/>
          <w:szCs w:val="24"/>
        </w:rPr>
      </w:pPr>
      <w:r w:rsidRPr="00E35F04">
        <w:rPr>
          <w:rFonts w:ascii="Times New Roman" w:hAnsi="Times New Roman" w:cs="Calibri"/>
          <w:szCs w:val="24"/>
        </w:rPr>
        <w:t xml:space="preserve">have </w:t>
      </w:r>
      <w:r w:rsidR="00436B66">
        <w:rPr>
          <w:rFonts w:ascii="Times New Roman" w:hAnsi="Times New Roman" w:cs="Calibri"/>
          <w:szCs w:val="24"/>
        </w:rPr>
        <w:t>a basic familiarity with</w:t>
      </w:r>
      <w:r w:rsidRPr="00E35F04">
        <w:rPr>
          <w:rFonts w:ascii="Times New Roman" w:hAnsi="Times New Roman" w:cs="Calibri"/>
          <w:szCs w:val="24"/>
        </w:rPr>
        <w:t xml:space="preserve"> the hist</w:t>
      </w:r>
      <w:r>
        <w:rPr>
          <w:rFonts w:ascii="Times New Roman" w:hAnsi="Times New Roman" w:cs="Calibri"/>
          <w:szCs w:val="24"/>
        </w:rPr>
        <w:t>ory of political-</w:t>
      </w:r>
      <w:r w:rsidRPr="00E35F04">
        <w:rPr>
          <w:rFonts w:ascii="Times New Roman" w:hAnsi="Times New Roman" w:cs="Calibri"/>
          <w:szCs w:val="24"/>
        </w:rPr>
        <w:t>economy thinking as applied to the agricultural sector;</w:t>
      </w:r>
    </w:p>
    <w:p w14:paraId="14440BED" w14:textId="76ECE396" w:rsidR="00E35F04" w:rsidRDefault="00E35F04" w:rsidP="00E35F04">
      <w:pPr>
        <w:pStyle w:val="Listenabsatz"/>
        <w:widowControl w:val="0"/>
        <w:numPr>
          <w:ilvl w:val="0"/>
          <w:numId w:val="5"/>
        </w:numPr>
        <w:autoSpaceDE w:val="0"/>
        <w:autoSpaceDN w:val="0"/>
        <w:adjustRightInd w:val="0"/>
        <w:ind w:left="450"/>
        <w:rPr>
          <w:rFonts w:ascii="Times New Roman" w:hAnsi="Times New Roman" w:cs="Calibri"/>
          <w:szCs w:val="24"/>
        </w:rPr>
      </w:pPr>
      <w:r>
        <w:rPr>
          <w:rFonts w:ascii="Times New Roman" w:hAnsi="Times New Roman" w:cs="Calibri"/>
          <w:szCs w:val="24"/>
        </w:rPr>
        <w:t>have working knowledge of the prominent theories and models of</w:t>
      </w:r>
      <w:r w:rsidRPr="00E35F04">
        <w:rPr>
          <w:rFonts w:ascii="Times New Roman" w:hAnsi="Times New Roman" w:cs="Calibri"/>
          <w:szCs w:val="24"/>
        </w:rPr>
        <w:t xml:space="preserve"> </w:t>
      </w:r>
      <w:r>
        <w:rPr>
          <w:rFonts w:ascii="Times New Roman" w:hAnsi="Times New Roman" w:cs="Calibri"/>
          <w:szCs w:val="24"/>
        </w:rPr>
        <w:t>modern political-economic thought, including model strengths and weaknesses; and</w:t>
      </w:r>
    </w:p>
    <w:p w14:paraId="6803FC77" w14:textId="2FF566E5" w:rsidR="00E35F04" w:rsidRPr="00E35F04" w:rsidRDefault="00436B66" w:rsidP="00E35F04">
      <w:pPr>
        <w:pStyle w:val="Listenabsatz"/>
        <w:widowControl w:val="0"/>
        <w:numPr>
          <w:ilvl w:val="0"/>
          <w:numId w:val="5"/>
        </w:numPr>
        <w:autoSpaceDE w:val="0"/>
        <w:autoSpaceDN w:val="0"/>
        <w:adjustRightInd w:val="0"/>
        <w:ind w:left="450"/>
        <w:rPr>
          <w:rFonts w:ascii="Times New Roman" w:hAnsi="Times New Roman" w:cs="Calibri"/>
          <w:szCs w:val="24"/>
        </w:rPr>
      </w:pPr>
      <w:r>
        <w:rPr>
          <w:rFonts w:ascii="Times New Roman" w:hAnsi="Times New Roman" w:cs="Calibri"/>
          <w:szCs w:val="24"/>
        </w:rPr>
        <w:t xml:space="preserve">have a fundamental understanding </w:t>
      </w:r>
      <w:r w:rsidR="00E35F04">
        <w:rPr>
          <w:rFonts w:ascii="Times New Roman" w:hAnsi="Times New Roman" w:cs="Calibri"/>
          <w:szCs w:val="24"/>
        </w:rPr>
        <w:t xml:space="preserve">these models </w:t>
      </w:r>
      <w:r>
        <w:rPr>
          <w:rFonts w:ascii="Times New Roman" w:hAnsi="Times New Roman" w:cs="Calibri"/>
          <w:szCs w:val="24"/>
        </w:rPr>
        <w:t>have been applied to the analysis of</w:t>
      </w:r>
      <w:r w:rsidR="00E35F04">
        <w:rPr>
          <w:rFonts w:ascii="Times New Roman" w:hAnsi="Times New Roman" w:cs="Calibri"/>
          <w:szCs w:val="24"/>
        </w:rPr>
        <w:t xml:space="preserve"> the causes and effects of current “real-world”</w:t>
      </w:r>
      <w:r w:rsidR="00E35F04" w:rsidRPr="00E35F04">
        <w:rPr>
          <w:rFonts w:ascii="Times New Roman" w:hAnsi="Times New Roman" w:cs="Calibri"/>
          <w:szCs w:val="24"/>
        </w:rPr>
        <w:t xml:space="preserve"> agricult</w:t>
      </w:r>
      <w:r w:rsidR="00E35F04">
        <w:rPr>
          <w:rFonts w:ascii="Times New Roman" w:hAnsi="Times New Roman" w:cs="Calibri"/>
          <w:szCs w:val="24"/>
        </w:rPr>
        <w:t>ural policies</w:t>
      </w:r>
      <w:r w:rsidR="00E35F04" w:rsidRPr="00E35F04">
        <w:rPr>
          <w:rFonts w:ascii="Times New Roman" w:hAnsi="Times New Roman" w:cs="Calibri"/>
          <w:szCs w:val="24"/>
        </w:rPr>
        <w:t>.</w:t>
      </w:r>
    </w:p>
    <w:p w14:paraId="7BF95956" w14:textId="77777777" w:rsidR="00E35F04" w:rsidRDefault="00E35F04" w:rsidP="00E006AB">
      <w:pPr>
        <w:tabs>
          <w:tab w:val="left" w:pos="440"/>
        </w:tabs>
        <w:rPr>
          <w:rFonts w:ascii="Times" w:hAnsi="Times"/>
        </w:rPr>
      </w:pPr>
    </w:p>
    <w:p w14:paraId="7C30F4BF" w14:textId="1B5CD454" w:rsidR="005E72E0" w:rsidRPr="00386EE4" w:rsidRDefault="00386EE4" w:rsidP="00E006AB">
      <w:pPr>
        <w:tabs>
          <w:tab w:val="left" w:pos="440"/>
        </w:tabs>
        <w:rPr>
          <w:rFonts w:ascii="Times" w:hAnsi="Times"/>
          <w:b/>
          <w:sz w:val="32"/>
          <w:szCs w:val="32"/>
        </w:rPr>
      </w:pPr>
      <w:r>
        <w:rPr>
          <w:rFonts w:ascii="Times" w:hAnsi="Times"/>
          <w:b/>
          <w:sz w:val="32"/>
          <w:szCs w:val="32"/>
        </w:rPr>
        <w:t>Text</w:t>
      </w:r>
    </w:p>
    <w:p w14:paraId="2AE7B77F" w14:textId="6D1F58E0" w:rsidR="005E72E0" w:rsidRDefault="00271513" w:rsidP="00742E00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Anderson, Kym (ed.). </w:t>
      </w:r>
      <w:r w:rsidR="005E72E0">
        <w:rPr>
          <w:rFonts w:ascii="Times" w:hAnsi="Times"/>
        </w:rPr>
        <w:t xml:space="preserve"> </w:t>
      </w:r>
      <w:r w:rsidR="005E72E0">
        <w:rPr>
          <w:rFonts w:ascii="Times" w:hAnsi="Times"/>
          <w:i/>
        </w:rPr>
        <w:t>The Political Economy of Agricultural Price Distortions</w:t>
      </w:r>
      <w:r w:rsidR="005E72E0">
        <w:rPr>
          <w:rFonts w:ascii="Times" w:hAnsi="Times"/>
        </w:rPr>
        <w:t>.  Cambridge:  Cambridge University Press, 2010.</w:t>
      </w:r>
    </w:p>
    <w:p w14:paraId="4FA64160" w14:textId="77777777" w:rsidR="00E35F04" w:rsidRDefault="00E35F04" w:rsidP="00E006AB">
      <w:pPr>
        <w:tabs>
          <w:tab w:val="left" w:pos="440"/>
        </w:tabs>
        <w:rPr>
          <w:rFonts w:ascii="Times" w:hAnsi="Times"/>
        </w:rPr>
      </w:pPr>
    </w:p>
    <w:p w14:paraId="6A17B35E" w14:textId="77777777" w:rsidR="00436B66" w:rsidRDefault="00436B66" w:rsidP="00E006AB">
      <w:pPr>
        <w:tabs>
          <w:tab w:val="left" w:pos="440"/>
        </w:tabs>
        <w:rPr>
          <w:rFonts w:ascii="Times" w:hAnsi="Times"/>
        </w:rPr>
      </w:pPr>
    </w:p>
    <w:p w14:paraId="3826E661" w14:textId="6A168014" w:rsidR="00E35F04" w:rsidRDefault="00E35F04" w:rsidP="00E006AB">
      <w:pPr>
        <w:tabs>
          <w:tab w:val="left" w:pos="440"/>
        </w:tabs>
        <w:rPr>
          <w:rFonts w:ascii="Times" w:hAnsi="Times"/>
          <w:b/>
          <w:sz w:val="32"/>
          <w:szCs w:val="32"/>
        </w:rPr>
      </w:pPr>
      <w:r w:rsidRPr="00E35F04">
        <w:rPr>
          <w:rFonts w:ascii="Times" w:hAnsi="Times"/>
          <w:b/>
          <w:sz w:val="32"/>
          <w:szCs w:val="32"/>
        </w:rPr>
        <w:t>Course Outline</w:t>
      </w:r>
    </w:p>
    <w:p w14:paraId="1FD3DF45" w14:textId="77777777" w:rsidR="00FA395C" w:rsidRPr="00FA395C" w:rsidRDefault="00FA395C" w:rsidP="00E006AB">
      <w:pPr>
        <w:tabs>
          <w:tab w:val="left" w:pos="440"/>
        </w:tabs>
        <w:rPr>
          <w:rFonts w:ascii="Times" w:hAnsi="Times"/>
          <w:szCs w:val="24"/>
        </w:rPr>
      </w:pPr>
    </w:p>
    <w:p w14:paraId="28CE1599" w14:textId="18BC4141" w:rsidR="00FA395C" w:rsidRDefault="009B594B" w:rsidP="00FA395C">
      <w:pPr>
        <w:pStyle w:val="berschrift1"/>
      </w:pPr>
      <w:r>
        <w:t xml:space="preserve">Pre-class Readings and Assignments </w:t>
      </w:r>
    </w:p>
    <w:p w14:paraId="537B2978" w14:textId="77777777" w:rsidR="009618D6" w:rsidRDefault="009618D6" w:rsidP="00377777"/>
    <w:p w14:paraId="43C0EB93" w14:textId="6E69E3E8" w:rsidR="009618D6" w:rsidRDefault="009618D6" w:rsidP="00377777">
      <w:r>
        <w:t>I ask every student to read chapters 1, 2, 4, 9, 10, and 14 before class begins on May 30.  These chapters will give you a solid working knowledge of some of the history of agricultural policy around the world, and of the nature of current agricultural policies.</w:t>
      </w:r>
    </w:p>
    <w:p w14:paraId="6430D609" w14:textId="05798200" w:rsidR="00BC0B85" w:rsidRDefault="00A95C58" w:rsidP="00BC0B85">
      <w:pPr>
        <w:ind w:firstLine="360"/>
      </w:pPr>
      <w:r>
        <w:lastRenderedPageBreak/>
        <w:t>Because of the intensive and very short nature of the course, it will not be possible for students to absorb much of the</w:t>
      </w:r>
      <w:r w:rsidR="009618D6">
        <w:t xml:space="preserve"> technical</w:t>
      </w:r>
      <w:r>
        <w:t xml:space="preserve"> material unless they begin working on it well before class lectures begin.  </w:t>
      </w:r>
      <w:r w:rsidR="00CD52ED">
        <w:t>Some of the</w:t>
      </w:r>
      <w:r>
        <w:t xml:space="preserve"> theoretical papers are complicated, and my experience is that many months</w:t>
      </w:r>
      <w:r w:rsidR="009618D6">
        <w:t xml:space="preserve"> (years???)</w:t>
      </w:r>
      <w:r>
        <w:t xml:space="preserve"> of study are required to </w:t>
      </w:r>
      <w:r w:rsidR="00377777">
        <w:t xml:space="preserve">really </w:t>
      </w:r>
      <w:r>
        <w:t xml:space="preserve">grasp </w:t>
      </w:r>
      <w:r w:rsidR="009618D6">
        <w:t xml:space="preserve">some of </w:t>
      </w:r>
      <w:r>
        <w:t xml:space="preserve">their details. </w:t>
      </w:r>
      <w:r w:rsidR="00B9253D">
        <w:t xml:space="preserve"> Therefore</w:t>
      </w:r>
      <w:r w:rsidR="009618D6">
        <w:t>,</w:t>
      </w:r>
      <w:r w:rsidR="00377777">
        <w:t xml:space="preserve"> to help</w:t>
      </w:r>
      <w:r w:rsidR="00B9253D">
        <w:t xml:space="preserve"> students</w:t>
      </w:r>
      <w:r w:rsidR="00377777">
        <w:t xml:space="preserve"> to come to understand the basic workings of the </w:t>
      </w:r>
      <w:r w:rsidR="009618D6">
        <w:t xml:space="preserve">formal political economy </w:t>
      </w:r>
      <w:r w:rsidR="00377777">
        <w:t xml:space="preserve">models, </w:t>
      </w:r>
      <w:r w:rsidR="002E2F61">
        <w:t>I have written f</w:t>
      </w:r>
      <w:r w:rsidR="009618D6">
        <w:t>our problem set</w:t>
      </w:r>
      <w:r w:rsidR="002E2F61">
        <w:t>s</w:t>
      </w:r>
      <w:r w:rsidR="009618D6">
        <w:t xml:space="preserve"> on their inner-workings.  </w:t>
      </w:r>
      <w:r w:rsidR="002E2F61">
        <w:t>If this course were graded, I would make completion of the problem sets mandatory.  As is, however, I will only make their co</w:t>
      </w:r>
      <w:r w:rsidR="00BC0B85">
        <w:t xml:space="preserve">mpletion a recommended activity.  </w:t>
      </w:r>
    </w:p>
    <w:p w14:paraId="0D3BA647" w14:textId="33AE5260" w:rsidR="002E2F61" w:rsidRDefault="00BC0B85" w:rsidP="00BC0B85">
      <w:pPr>
        <w:ind w:firstLine="360"/>
      </w:pPr>
      <w:r>
        <w:t xml:space="preserve">I hope to make these problem sets all available during the first week in May.  </w:t>
      </w:r>
      <w:r w:rsidR="002E2F61">
        <w:t xml:space="preserve">I invite students to </w:t>
      </w:r>
      <w:r w:rsidR="009618D6">
        <w:t>work dozens of hours on</w:t>
      </w:r>
      <w:r w:rsidR="002E2F61">
        <w:t xml:space="preserve"> the problem sets before class begins on May 30, and to finish </w:t>
      </w:r>
      <w:r>
        <w:t xml:space="preserve">them </w:t>
      </w:r>
      <w:r w:rsidR="002E2F61">
        <w:t xml:space="preserve">during the </w:t>
      </w:r>
      <w:r>
        <w:t xml:space="preserve">two </w:t>
      </w:r>
      <w:r w:rsidR="002E2F61">
        <w:t>week</w:t>
      </w:r>
      <w:r>
        <w:t>s</w:t>
      </w:r>
      <w:r w:rsidR="002E2F61">
        <w:t xml:space="preserve"> following class. </w:t>
      </w:r>
      <w:r w:rsidR="009618D6">
        <w:t>I will be happy to answer questions about those problem sets by email during the month of May</w:t>
      </w:r>
      <w:r>
        <w:t xml:space="preserve"> and up through </w:t>
      </w:r>
      <w:r w:rsidR="006A08B3">
        <w:t>\</w:t>
      </w:r>
      <w:r>
        <w:t xml:space="preserve">June 18.  </w:t>
      </w:r>
      <w:r w:rsidR="002E2F61">
        <w:t xml:space="preserve">I will be </w:t>
      </w:r>
      <w:r w:rsidR="009618D6">
        <w:t xml:space="preserve">also be </w:t>
      </w:r>
      <w:r w:rsidR="002E2F61">
        <w:t xml:space="preserve">happy to carefully examine </w:t>
      </w:r>
      <w:r w:rsidR="006A08B3">
        <w:t xml:space="preserve">and grade </w:t>
      </w:r>
      <w:r w:rsidR="002E2F61">
        <w:t>any completed problem sets</w:t>
      </w:r>
      <w:r w:rsidR="009618D6">
        <w:t>, and to discuss them in detail</w:t>
      </w:r>
      <w:r w:rsidR="002E2F61">
        <w:t xml:space="preserve"> (by Skype or email) with any students wanting to do so </w:t>
      </w:r>
      <w:r w:rsidR="006A08B3">
        <w:t>after that</w:t>
      </w:r>
      <w:r>
        <w:t>.</w:t>
      </w:r>
      <w:r w:rsidR="002E2F61">
        <w:t>.</w:t>
      </w:r>
    </w:p>
    <w:p w14:paraId="4FA2A2C3" w14:textId="77777777" w:rsidR="00DB1DBA" w:rsidRDefault="00DB1DBA" w:rsidP="00DB1DBA">
      <w:pPr>
        <w:ind w:left="720" w:hanging="720"/>
      </w:pPr>
    </w:p>
    <w:p w14:paraId="3CF09C46" w14:textId="2686C150" w:rsidR="00A6469A" w:rsidRDefault="007960A3" w:rsidP="007960A3">
      <w:pPr>
        <w:pStyle w:val="berschrift1"/>
      </w:pPr>
      <w:r>
        <w:t xml:space="preserve">Some </w:t>
      </w:r>
      <w:r w:rsidR="00720E57">
        <w:t xml:space="preserve">Historical </w:t>
      </w:r>
      <w:r>
        <w:t>Basics about the Political Economy of Agriculture Around the World</w:t>
      </w:r>
      <w:r w:rsidR="009A47C2">
        <w:t xml:space="preserve">  (Lecture 1 on </w:t>
      </w:r>
      <w:r w:rsidR="00CD52ED">
        <w:t>May 30</w:t>
      </w:r>
      <w:r w:rsidR="009A47C2">
        <w:t>)</w:t>
      </w:r>
    </w:p>
    <w:p w14:paraId="4156DFF6" w14:textId="1012750D" w:rsidR="007960A3" w:rsidRDefault="00A6469A" w:rsidP="007960A3">
      <w:pPr>
        <w:ind w:left="720" w:hanging="720"/>
      </w:pPr>
      <w:r>
        <w:t>Anderson, Kym.  “Unders</w:t>
      </w:r>
      <w:r w:rsidR="00F63C79">
        <w:t>tanding Government Intervention</w:t>
      </w:r>
      <w:r>
        <w:t>s in Agricultural Markets.” Chapter 1 of</w:t>
      </w:r>
      <w:r w:rsidR="007960A3">
        <w:t xml:space="preserve"> Anderson (</w:t>
      </w:r>
      <w:r w:rsidR="00FE5A30">
        <w:t>2010</w:t>
      </w:r>
      <w:r w:rsidR="007960A3">
        <w:t>)</w:t>
      </w:r>
      <w:r w:rsidR="005E72E0">
        <w:t>.</w:t>
      </w:r>
    </w:p>
    <w:p w14:paraId="6E0C9B59" w14:textId="1F28236B" w:rsidR="00A6469A" w:rsidRDefault="00A6469A" w:rsidP="007960A3">
      <w:pPr>
        <w:ind w:left="720" w:hanging="720"/>
      </w:pPr>
      <w:r>
        <w:t>Anderson, Kym, Johanna Croser, Damiano Sandri, and Ernesto Valenzuela.  “Agricultural Distortion Patterns Since the 1950s:  What Needs Explaining?”  Chapter 2 of Anderson (</w:t>
      </w:r>
      <w:r w:rsidR="00FE5A30">
        <w:t>2010</w:t>
      </w:r>
      <w:r>
        <w:t>).</w:t>
      </w:r>
    </w:p>
    <w:p w14:paraId="536B5A5F" w14:textId="77777777" w:rsidR="00720E57" w:rsidRPr="007960A3" w:rsidRDefault="00720E57" w:rsidP="007960A3">
      <w:pPr>
        <w:ind w:left="720" w:hanging="720"/>
      </w:pPr>
    </w:p>
    <w:p w14:paraId="2ACC4F3A" w14:textId="77777777" w:rsidR="006614CB" w:rsidRDefault="006614CB" w:rsidP="00E006AB">
      <w:pPr>
        <w:tabs>
          <w:tab w:val="left" w:pos="720"/>
          <w:tab w:val="left" w:pos="1440"/>
          <w:tab w:val="left" w:pos="2160"/>
        </w:tabs>
        <w:rPr>
          <w:rFonts w:ascii="Times" w:hAnsi="Times"/>
        </w:rPr>
      </w:pPr>
    </w:p>
    <w:p w14:paraId="296E6B24" w14:textId="101DFA4E" w:rsidR="009D5C17" w:rsidRDefault="00FC59ED" w:rsidP="009D5C17">
      <w:pPr>
        <w:numPr>
          <w:ilvl w:val="0"/>
          <w:numId w:val="2"/>
        </w:numPr>
        <w:tabs>
          <w:tab w:val="left" w:pos="440"/>
        </w:tabs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  <w:r w:rsidR="002D5825">
        <w:rPr>
          <w:rFonts w:ascii="Times" w:hAnsi="Times"/>
          <w:b/>
        </w:rPr>
        <w:t>Models of Political Economy</w:t>
      </w:r>
      <w:r w:rsidR="00E52582">
        <w:rPr>
          <w:rFonts w:ascii="Times" w:hAnsi="Times"/>
          <w:b/>
        </w:rPr>
        <w:t xml:space="preserve"> and Agricultural Applications</w:t>
      </w:r>
    </w:p>
    <w:p w14:paraId="6492C01D" w14:textId="77777777" w:rsidR="00AB769B" w:rsidRDefault="00AB769B" w:rsidP="00523058">
      <w:pPr>
        <w:tabs>
          <w:tab w:val="left" w:pos="440"/>
        </w:tabs>
      </w:pPr>
    </w:p>
    <w:p w14:paraId="322C06D7" w14:textId="67C73D66" w:rsidR="005C04D3" w:rsidRDefault="00A6469A" w:rsidP="000C4BD5">
      <w:pPr>
        <w:pStyle w:val="berschrift2"/>
      </w:pPr>
      <w:r>
        <w:t>The Virginia School/Public Choice Model</w:t>
      </w:r>
      <w:r w:rsidR="009A47C2">
        <w:t xml:space="preserve"> (Lecture</w:t>
      </w:r>
      <w:r w:rsidR="009618D6">
        <w:t>s</w:t>
      </w:r>
      <w:r w:rsidR="009A47C2">
        <w:t xml:space="preserve"> 2</w:t>
      </w:r>
      <w:r w:rsidR="009618D6">
        <w:t xml:space="preserve"> and 3</w:t>
      </w:r>
      <w:r w:rsidR="009A47C2">
        <w:t xml:space="preserve"> on </w:t>
      </w:r>
      <w:r w:rsidR="00CD52ED">
        <w:t>May 30</w:t>
      </w:r>
      <w:r w:rsidR="009A47C2">
        <w:t>)</w:t>
      </w:r>
    </w:p>
    <w:p w14:paraId="417E702B" w14:textId="13ECFF0E" w:rsidR="005E72E0" w:rsidRDefault="005E72E0" w:rsidP="00FA0ACB">
      <w:pPr>
        <w:ind w:left="720" w:hanging="720"/>
      </w:pPr>
      <w:r>
        <w:t>Tullock, Gordon.  “</w:t>
      </w:r>
      <w:r w:rsidR="00CA796F">
        <w:t>The Welfare Costs of Tariffs, Monopolies, and Theft</w:t>
      </w:r>
      <w:r>
        <w:t xml:space="preserve">.” </w:t>
      </w:r>
      <w:r w:rsidR="00CA796F">
        <w:rPr>
          <w:i/>
        </w:rPr>
        <w:t xml:space="preserve">Western Economic Journal </w:t>
      </w:r>
      <w:r w:rsidR="00CA796F">
        <w:t>3(1967):  224-232</w:t>
      </w:r>
      <w:r w:rsidR="00FA0ACB">
        <w:t>.</w:t>
      </w:r>
    </w:p>
    <w:p w14:paraId="46193717" w14:textId="0D92051D" w:rsidR="00CA796F" w:rsidRPr="00FA0ACB" w:rsidRDefault="00CA796F" w:rsidP="00CA796F">
      <w:pPr>
        <w:ind w:left="720" w:hanging="720"/>
      </w:pPr>
      <w:r>
        <w:t xml:space="preserve">Tullock, Gordon.  “Efficient Rent Seeking.”  In Buchanan, James M., Robgert Tollison, and Gordon Tullock (eds.).  </w:t>
      </w:r>
      <w:r>
        <w:rPr>
          <w:i/>
        </w:rPr>
        <w:t>Toward a Theory of a Rent-Seeking Society.</w:t>
      </w:r>
      <w:r>
        <w:t xml:space="preserve">  College Station, TX:  Texas A&amp;M University Press, 1980.</w:t>
      </w:r>
    </w:p>
    <w:p w14:paraId="6F856A0C" w14:textId="77777777" w:rsidR="00742E00" w:rsidRDefault="00742E00" w:rsidP="00742E00">
      <w:pPr>
        <w:ind w:left="720" w:hanging="720"/>
      </w:pPr>
      <w:r>
        <w:t>Masters, William A., and Andres F. Garcia.  “Agricultural Price Distortions and Stabilization.”  Chapter 9 of Anderson (2010).</w:t>
      </w:r>
    </w:p>
    <w:p w14:paraId="6C424B43" w14:textId="77777777" w:rsidR="00742E00" w:rsidRDefault="00742E00" w:rsidP="00742E00">
      <w:pPr>
        <w:ind w:left="720" w:hanging="720"/>
      </w:pPr>
    </w:p>
    <w:p w14:paraId="7138C9EF" w14:textId="77777777" w:rsidR="005C04D3" w:rsidRPr="000C4BD5" w:rsidRDefault="005C04D3" w:rsidP="000C4BD5"/>
    <w:p w14:paraId="19E8B92C" w14:textId="7E406811" w:rsidR="00FC4973" w:rsidRPr="00FD6414" w:rsidRDefault="00A6469A" w:rsidP="00FD6414">
      <w:pPr>
        <w:pStyle w:val="berschrift2"/>
      </w:pPr>
      <w:r>
        <w:t>The Chicago School Model:</w:t>
      </w:r>
      <w:r w:rsidR="002D5825">
        <w:t xml:space="preserve">  </w:t>
      </w:r>
      <w:r w:rsidR="00FC59ED">
        <w:t xml:space="preserve">Becker </w:t>
      </w:r>
      <w:r w:rsidR="002D5825">
        <w:t>(1983)</w:t>
      </w:r>
      <w:r w:rsidR="00053BC8">
        <w:t xml:space="preserve"> (Lectures 1,</w:t>
      </w:r>
      <w:r w:rsidR="009A47C2">
        <w:t xml:space="preserve"> 2</w:t>
      </w:r>
      <w:r w:rsidR="00053BC8">
        <w:t>, and 3</w:t>
      </w:r>
      <w:r w:rsidR="009A47C2">
        <w:t xml:space="preserve"> on </w:t>
      </w:r>
      <w:r w:rsidR="00CD52ED">
        <w:t>May 31</w:t>
      </w:r>
      <w:r w:rsidR="009A47C2">
        <w:t>)</w:t>
      </w:r>
    </w:p>
    <w:p w14:paraId="029C91BB" w14:textId="77777777" w:rsidR="003D72C9" w:rsidRDefault="00FC4973" w:rsidP="003D72C9">
      <w:pPr>
        <w:ind w:left="720" w:right="-720" w:hanging="720"/>
        <w:rPr>
          <w:rFonts w:ascii="Times New Roman" w:hAnsi="Times New Roman"/>
        </w:rPr>
      </w:pPr>
      <w:r>
        <w:rPr>
          <w:rFonts w:ascii="Times New Roman" w:hAnsi="Times New Roman"/>
        </w:rPr>
        <w:t>Becker, Gary S.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 “A Theory of Competition Among Pressure Groups for Political Influence.”  </w:t>
      </w:r>
      <w:r>
        <w:rPr>
          <w:rFonts w:ascii="Times New Roman" w:hAnsi="Times New Roman"/>
          <w:i/>
        </w:rPr>
        <w:t>Quarterly Journal of Economics</w:t>
      </w:r>
      <w:r>
        <w:rPr>
          <w:rFonts w:ascii="Times New Roman" w:hAnsi="Times New Roman"/>
        </w:rPr>
        <w:t xml:space="preserve"> </w:t>
      </w:r>
      <w:r w:rsidRPr="00FC4973">
        <w:rPr>
          <w:rFonts w:ascii="Times New Roman" w:hAnsi="Times New Roman"/>
        </w:rPr>
        <w:t>98</w:t>
      </w:r>
      <w:r>
        <w:rPr>
          <w:rFonts w:ascii="Times New Roman" w:hAnsi="Times New Roman"/>
        </w:rPr>
        <w:t>(1983): 371-400.</w:t>
      </w:r>
    </w:p>
    <w:p w14:paraId="02FD9975" w14:textId="4B8F52A1" w:rsidR="00FC4973" w:rsidRPr="003D72C9" w:rsidRDefault="004156BC" w:rsidP="003D72C9">
      <w:pPr>
        <w:ind w:left="720" w:right="-720" w:hanging="720"/>
        <w:rPr>
          <w:rFonts w:ascii="Times New Roman" w:hAnsi="Times New Roman"/>
        </w:rPr>
      </w:pPr>
      <w:r>
        <w:t xml:space="preserve">Gardner, Bruce L.  </w:t>
      </w:r>
      <w:r w:rsidR="003D72C9">
        <w:t xml:space="preserve">“Causes of U.S. Farm Commodity Programs.”  </w:t>
      </w:r>
      <w:r w:rsidR="003D72C9">
        <w:rPr>
          <w:i/>
        </w:rPr>
        <w:t>Journal of Political Economy</w:t>
      </w:r>
      <w:r w:rsidR="003D72C9">
        <w:t xml:space="preserve"> 95(1987):  290-310.</w:t>
      </w:r>
    </w:p>
    <w:p w14:paraId="686A1E33" w14:textId="77777777" w:rsidR="000C4BD5" w:rsidRPr="000C4BD5" w:rsidRDefault="000C4BD5" w:rsidP="000C4BD5"/>
    <w:p w14:paraId="38BEACAE" w14:textId="10BE14E0" w:rsidR="00AE4C46" w:rsidRDefault="000C4BD5" w:rsidP="00AE4C46">
      <w:pPr>
        <w:pStyle w:val="berschrift2"/>
      </w:pPr>
      <w:r>
        <w:t>The “Workhorse” Model</w:t>
      </w:r>
      <w:r w:rsidR="002D5825">
        <w:t>:  Grossman and Helpman (1994)</w:t>
      </w:r>
      <w:r w:rsidR="002C06F0">
        <w:t xml:space="preserve"> (Lecture</w:t>
      </w:r>
      <w:r w:rsidR="00053BC8">
        <w:t>s 1,</w:t>
      </w:r>
      <w:r w:rsidR="002C06F0">
        <w:t xml:space="preserve"> 2</w:t>
      </w:r>
      <w:r w:rsidR="00053BC8">
        <w:t>, and 3</w:t>
      </w:r>
      <w:r w:rsidR="002C06F0">
        <w:t xml:space="preserve"> </w:t>
      </w:r>
      <w:r w:rsidR="00CD52ED">
        <w:t>on June 1)</w:t>
      </w:r>
      <w:r w:rsidR="009A47C2">
        <w:t>, Lecture 1</w:t>
      </w:r>
      <w:r w:rsidR="00053BC8">
        <w:t xml:space="preserve"> on </w:t>
      </w:r>
      <w:r w:rsidR="00CD52ED">
        <w:t>June 2</w:t>
      </w:r>
      <w:r w:rsidR="009A47C2">
        <w:t>)</w:t>
      </w:r>
    </w:p>
    <w:p w14:paraId="2D6139DB" w14:textId="604B56F8" w:rsidR="00D93F3C" w:rsidRPr="00D93F3C" w:rsidRDefault="00D93F3C" w:rsidP="00D93F3C">
      <w:pPr>
        <w:tabs>
          <w:tab w:val="left" w:pos="440"/>
        </w:tabs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 xml:space="preserve">Grossman, Gene M., and Elhanan Helpman.  “Protection for Sale.”  </w:t>
      </w:r>
      <w:r>
        <w:rPr>
          <w:rFonts w:ascii="Times" w:hAnsi="Times"/>
          <w:i/>
        </w:rPr>
        <w:t>American Economic Review</w:t>
      </w:r>
      <w:r>
        <w:rPr>
          <w:rFonts w:ascii="Times" w:hAnsi="Times"/>
        </w:rPr>
        <w:t xml:space="preserve"> 84 (1994):  833-850.</w:t>
      </w:r>
    </w:p>
    <w:p w14:paraId="51B73D5E" w14:textId="189EAA02" w:rsidR="00FE5A30" w:rsidRDefault="00D93F3C" w:rsidP="00FE5A30">
      <w:pPr>
        <w:ind w:left="720" w:hanging="720"/>
      </w:pPr>
      <w:r>
        <w:t>Gawande, Kishore, and Bernard Hoekman.</w:t>
      </w:r>
      <w:r w:rsidR="00FE5A30">
        <w:t xml:space="preserve">  “</w:t>
      </w:r>
      <w:r>
        <w:t>Why Governments Tax or Subsidize Agricultural Trade</w:t>
      </w:r>
      <w:r w:rsidR="00FE5A30">
        <w:t xml:space="preserve">.”  Chapter </w:t>
      </w:r>
      <w:r>
        <w:t>10</w:t>
      </w:r>
      <w:r w:rsidR="00FE5A30">
        <w:t xml:space="preserve"> of Anderson (2010).</w:t>
      </w:r>
    </w:p>
    <w:p w14:paraId="71D9F5CA" w14:textId="77777777" w:rsidR="00FE5A30" w:rsidRDefault="00FE5A30" w:rsidP="00AE4C46"/>
    <w:p w14:paraId="10987DC3" w14:textId="77777777" w:rsidR="00AE4C46" w:rsidRDefault="00AE4C46" w:rsidP="00AE4C46"/>
    <w:p w14:paraId="583CD176" w14:textId="3E862B55" w:rsidR="00FC4973" w:rsidRPr="00FC4973" w:rsidRDefault="005C04D3" w:rsidP="00FC4973">
      <w:pPr>
        <w:pStyle w:val="berschrift2"/>
      </w:pPr>
      <w:r>
        <w:t>A Commonly Used Model in Agricultural Political Economy:  The Political Preference Function Model</w:t>
      </w:r>
      <w:r w:rsidR="00CD52ED">
        <w:t xml:space="preserve"> (Lecture 2 on June 2</w:t>
      </w:r>
      <w:r w:rsidR="009A47C2">
        <w:t>)</w:t>
      </w:r>
    </w:p>
    <w:p w14:paraId="6B4E189E" w14:textId="77777777" w:rsidR="005C04D3" w:rsidRPr="002E6939" w:rsidRDefault="005C04D3" w:rsidP="005C04D3">
      <w:pPr>
        <w:ind w:left="720" w:hanging="720"/>
      </w:pPr>
      <w:r>
        <w:t xml:space="preserve">Ahn, B.-I., and D.A. Sumner.  “Political Market Power Reflected in Milk Pricing Regulations.”  </w:t>
      </w:r>
      <w:r w:rsidRPr="00282D4B">
        <w:rPr>
          <w:i/>
        </w:rPr>
        <w:t>American Journal of Agricultural Economics</w:t>
      </w:r>
      <w:r>
        <w:t xml:space="preserve"> 91(2009):  723-737.</w:t>
      </w:r>
    </w:p>
    <w:p w14:paraId="2E13551E" w14:textId="401A7EB8" w:rsidR="005C04D3" w:rsidRDefault="00CD52ED" w:rsidP="00CD52ED">
      <w:pPr>
        <w:ind w:left="720" w:hanging="720"/>
      </w:pPr>
      <w:r>
        <w:t>Rausser, Gordon C., and Gérard Roland.  “Special Interests versus the Public Interest in Policy Determination.”  Chapter 4 of Anderson (2010).\\</w:t>
      </w:r>
    </w:p>
    <w:p w14:paraId="0BDD33D7" w14:textId="77777777" w:rsidR="00CD52ED" w:rsidRPr="00CD52ED" w:rsidRDefault="00CD52ED" w:rsidP="00CD52ED">
      <w:pPr>
        <w:ind w:left="720" w:hanging="720"/>
      </w:pPr>
    </w:p>
    <w:p w14:paraId="683C45C9" w14:textId="77777777" w:rsidR="005C04D3" w:rsidRPr="00AE4C46" w:rsidRDefault="005C04D3" w:rsidP="00AE4C46"/>
    <w:p w14:paraId="70C7FEBD" w14:textId="7BDF8DB7" w:rsidR="00A6469A" w:rsidRDefault="00AE4C46" w:rsidP="00FC4973">
      <w:pPr>
        <w:pStyle w:val="berschrift2"/>
      </w:pPr>
      <w:r>
        <w:t>The New New Political Economy:  Modeling Political Institutions</w:t>
      </w:r>
      <w:r w:rsidR="00CD52ED">
        <w:t xml:space="preserve"> (Lectures 1 and 2 on June 3</w:t>
      </w:r>
      <w:r w:rsidR="009A47C2">
        <w:t>)</w:t>
      </w:r>
    </w:p>
    <w:p w14:paraId="16FA0B51" w14:textId="566214A9" w:rsidR="004156BC" w:rsidRDefault="004156BC" w:rsidP="00FC4973">
      <w:pPr>
        <w:ind w:left="720" w:hanging="720"/>
      </w:pPr>
      <w:r>
        <w:t xml:space="preserve">Persson, T., and G. Tabellini.  “Constitutions and Economic Policy.”  </w:t>
      </w:r>
      <w:r>
        <w:rPr>
          <w:i/>
        </w:rPr>
        <w:t xml:space="preserve">Journal of Economic </w:t>
      </w:r>
      <w:r w:rsidR="00F835D0">
        <w:t>Perspecti</w:t>
      </w:r>
      <w:r w:rsidRPr="004156BC">
        <w:t>ves</w:t>
      </w:r>
      <w:r>
        <w:t xml:space="preserve"> 18(2004):  75-98.</w:t>
      </w:r>
    </w:p>
    <w:p w14:paraId="1813DC13" w14:textId="1190E32B" w:rsidR="000C4BD5" w:rsidRDefault="00A6469A" w:rsidP="00FC4973">
      <w:pPr>
        <w:ind w:left="720" w:hanging="720"/>
      </w:pPr>
      <w:r w:rsidRPr="004156BC">
        <w:t>Olper</w:t>
      </w:r>
      <w:r>
        <w:t>, Alessandro, and Valentina Raimondi.  “Cons</w:t>
      </w:r>
      <w:r w:rsidR="00FC4973">
        <w:t>t</w:t>
      </w:r>
      <w:r>
        <w:t xml:space="preserve">itutional Rules and Agricultural Policy Outcomes.”  </w:t>
      </w:r>
      <w:r w:rsidR="00FC4973">
        <w:t>Chapter 14 of Anderson (ed.).</w:t>
      </w:r>
    </w:p>
    <w:p w14:paraId="4CE4E5EC" w14:textId="77777777" w:rsidR="00AC7471" w:rsidRDefault="00AC7471" w:rsidP="00E006AB"/>
    <w:p w14:paraId="7EC9DAB3" w14:textId="77777777" w:rsidR="00AC7471" w:rsidRPr="00AC7471" w:rsidRDefault="00AC7471" w:rsidP="00E006AB"/>
    <w:p w14:paraId="42DD9126" w14:textId="77777777" w:rsidR="00565D96" w:rsidRDefault="00565D96" w:rsidP="00431939"/>
    <w:sectPr w:rsidR="00565D96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5E469" w14:textId="77777777" w:rsidR="000706A3" w:rsidRDefault="000706A3">
      <w:r>
        <w:separator/>
      </w:r>
    </w:p>
  </w:endnote>
  <w:endnote w:type="continuationSeparator" w:id="0">
    <w:p w14:paraId="2CD03DC9" w14:textId="77777777" w:rsidR="000706A3" w:rsidRDefault="0007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8750" w14:textId="77777777" w:rsidR="007C614F" w:rsidRDefault="007C614F">
    <w:pPr>
      <w:pStyle w:val="Fuzeile"/>
      <w:framePr w:w="576" w:wrap="around" w:vAnchor="page" w:hAnchor="page" w:x="5545" w:y="14401"/>
      <w:widowControl w:val="0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FBDB63" w14:textId="77777777" w:rsidR="007C614F" w:rsidRDefault="007C614F">
    <w:pPr>
      <w:pStyle w:val="Fuzeile"/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B79C3" w14:textId="1E111CF5" w:rsidR="007C614F" w:rsidRDefault="007C614F">
    <w:pPr>
      <w:pStyle w:val="Fuzeile"/>
      <w:framePr w:w="576" w:wrap="around" w:vAnchor="page" w:hAnchor="page" w:x="5545" w:y="14401"/>
      <w:widowControl w:val="0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E10A2">
      <w:rPr>
        <w:rStyle w:val="Seitenzahl"/>
        <w:noProof/>
      </w:rPr>
      <w:t>1</w:t>
    </w:r>
    <w:r>
      <w:rPr>
        <w:rStyle w:val="Seitenzahl"/>
      </w:rPr>
      <w:fldChar w:fldCharType="end"/>
    </w:r>
  </w:p>
  <w:p w14:paraId="2F0ADB79" w14:textId="77777777" w:rsidR="007C614F" w:rsidRDefault="007C614F">
    <w:pPr>
      <w:pStyle w:val="Fuzeile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0A890" w14:textId="77777777" w:rsidR="000706A3" w:rsidRDefault="000706A3">
      <w:r>
        <w:separator/>
      </w:r>
    </w:p>
  </w:footnote>
  <w:footnote w:type="continuationSeparator" w:id="0">
    <w:p w14:paraId="41845C54" w14:textId="77777777" w:rsidR="000706A3" w:rsidRDefault="0007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C3CDD"/>
    <w:multiLevelType w:val="hybridMultilevel"/>
    <w:tmpl w:val="0F42AD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25F9D"/>
    <w:multiLevelType w:val="hybridMultilevel"/>
    <w:tmpl w:val="56149C70"/>
    <w:lvl w:ilvl="0" w:tplc="F30AFF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5D6F52"/>
    <w:multiLevelType w:val="hybridMultilevel"/>
    <w:tmpl w:val="FC82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03FF8"/>
    <w:multiLevelType w:val="hybridMultilevel"/>
    <w:tmpl w:val="6DB2A408"/>
    <w:lvl w:ilvl="0" w:tplc="AA22F954">
      <w:start w:val="1"/>
      <w:numFmt w:val="upperRoman"/>
      <w:pStyle w:val="berschrift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0426C78">
      <w:start w:val="1"/>
      <w:numFmt w:val="upperLetter"/>
      <w:pStyle w:val="berschrift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7009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71"/>
    <w:rsid w:val="00053BC8"/>
    <w:rsid w:val="000706A3"/>
    <w:rsid w:val="000725A4"/>
    <w:rsid w:val="000C4BD5"/>
    <w:rsid w:val="0011520E"/>
    <w:rsid w:val="001569D8"/>
    <w:rsid w:val="001700E9"/>
    <w:rsid w:val="001903F4"/>
    <w:rsid w:val="00195186"/>
    <w:rsid w:val="001B482F"/>
    <w:rsid w:val="00251A15"/>
    <w:rsid w:val="00271513"/>
    <w:rsid w:val="00282D4B"/>
    <w:rsid w:val="00296730"/>
    <w:rsid w:val="002C06F0"/>
    <w:rsid w:val="002C5653"/>
    <w:rsid w:val="002D14F5"/>
    <w:rsid w:val="002D5825"/>
    <w:rsid w:val="002E2F61"/>
    <w:rsid w:val="002E6939"/>
    <w:rsid w:val="003035C2"/>
    <w:rsid w:val="0032755D"/>
    <w:rsid w:val="0033639B"/>
    <w:rsid w:val="003410CC"/>
    <w:rsid w:val="00377777"/>
    <w:rsid w:val="00386EE4"/>
    <w:rsid w:val="003D72C9"/>
    <w:rsid w:val="004156BC"/>
    <w:rsid w:val="00431939"/>
    <w:rsid w:val="00436B66"/>
    <w:rsid w:val="0049794C"/>
    <w:rsid w:val="004C0F9A"/>
    <w:rsid w:val="004E7C71"/>
    <w:rsid w:val="00504FDA"/>
    <w:rsid w:val="00520524"/>
    <w:rsid w:val="00523058"/>
    <w:rsid w:val="00552E9C"/>
    <w:rsid w:val="00563A2F"/>
    <w:rsid w:val="00565D96"/>
    <w:rsid w:val="00571829"/>
    <w:rsid w:val="00584CF9"/>
    <w:rsid w:val="005C04D3"/>
    <w:rsid w:val="005C7EAB"/>
    <w:rsid w:val="005E72E0"/>
    <w:rsid w:val="0062234B"/>
    <w:rsid w:val="006614CB"/>
    <w:rsid w:val="00675D10"/>
    <w:rsid w:val="006A08B3"/>
    <w:rsid w:val="00720E57"/>
    <w:rsid w:val="0074103B"/>
    <w:rsid w:val="00742E00"/>
    <w:rsid w:val="007960A3"/>
    <w:rsid w:val="007C614F"/>
    <w:rsid w:val="007F2723"/>
    <w:rsid w:val="0082671B"/>
    <w:rsid w:val="00830270"/>
    <w:rsid w:val="00846B37"/>
    <w:rsid w:val="00874C98"/>
    <w:rsid w:val="00890D80"/>
    <w:rsid w:val="008A3425"/>
    <w:rsid w:val="008E10A2"/>
    <w:rsid w:val="008F4075"/>
    <w:rsid w:val="00904E0D"/>
    <w:rsid w:val="0091237A"/>
    <w:rsid w:val="009618D6"/>
    <w:rsid w:val="009A47C2"/>
    <w:rsid w:val="009B135C"/>
    <w:rsid w:val="009B594B"/>
    <w:rsid w:val="009C3C21"/>
    <w:rsid w:val="009D15FA"/>
    <w:rsid w:val="009D5C17"/>
    <w:rsid w:val="009F546B"/>
    <w:rsid w:val="00A10572"/>
    <w:rsid w:val="00A371E4"/>
    <w:rsid w:val="00A4046D"/>
    <w:rsid w:val="00A6244A"/>
    <w:rsid w:val="00A6469A"/>
    <w:rsid w:val="00A80EE7"/>
    <w:rsid w:val="00A85FA4"/>
    <w:rsid w:val="00A95C58"/>
    <w:rsid w:val="00AB769B"/>
    <w:rsid w:val="00AC7471"/>
    <w:rsid w:val="00AE4C46"/>
    <w:rsid w:val="00AE5013"/>
    <w:rsid w:val="00B501F0"/>
    <w:rsid w:val="00B56F96"/>
    <w:rsid w:val="00B605EF"/>
    <w:rsid w:val="00B9253D"/>
    <w:rsid w:val="00BC0B85"/>
    <w:rsid w:val="00C1183F"/>
    <w:rsid w:val="00C27DF5"/>
    <w:rsid w:val="00C3434F"/>
    <w:rsid w:val="00C62F9C"/>
    <w:rsid w:val="00C8357D"/>
    <w:rsid w:val="00CA796F"/>
    <w:rsid w:val="00CD52ED"/>
    <w:rsid w:val="00D15C3F"/>
    <w:rsid w:val="00D2716C"/>
    <w:rsid w:val="00D9264B"/>
    <w:rsid w:val="00D93F3C"/>
    <w:rsid w:val="00DB1DBA"/>
    <w:rsid w:val="00DC2B3A"/>
    <w:rsid w:val="00DF720B"/>
    <w:rsid w:val="00E006AB"/>
    <w:rsid w:val="00E32979"/>
    <w:rsid w:val="00E35F04"/>
    <w:rsid w:val="00E52582"/>
    <w:rsid w:val="00E73BB1"/>
    <w:rsid w:val="00E86D90"/>
    <w:rsid w:val="00E9770E"/>
    <w:rsid w:val="00EB72E8"/>
    <w:rsid w:val="00EC4F05"/>
    <w:rsid w:val="00EF6F26"/>
    <w:rsid w:val="00F0694E"/>
    <w:rsid w:val="00F54F54"/>
    <w:rsid w:val="00F57041"/>
    <w:rsid w:val="00F63C79"/>
    <w:rsid w:val="00F8226D"/>
    <w:rsid w:val="00F835D0"/>
    <w:rsid w:val="00F85DF3"/>
    <w:rsid w:val="00FA0ACB"/>
    <w:rsid w:val="00FA395C"/>
    <w:rsid w:val="00FA4089"/>
    <w:rsid w:val="00FC4973"/>
    <w:rsid w:val="00FC59ED"/>
    <w:rsid w:val="00FC6691"/>
    <w:rsid w:val="00FD57AF"/>
    <w:rsid w:val="00FD6414"/>
    <w:rsid w:val="00FE5A30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E7C3A0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440"/>
      </w:tabs>
      <w:outlineLvl w:val="0"/>
    </w:pPr>
    <w:rPr>
      <w:rFonts w:ascii="Times" w:hAnsi="Times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tabs>
        <w:tab w:val="left" w:pos="440"/>
      </w:tabs>
      <w:outlineLvl w:val="1"/>
    </w:pPr>
    <w:rPr>
      <w:rFonts w:ascii="Times" w:hAnsi="Times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rPr>
      <w:rFonts w:ascii="Times" w:hAnsi="Times"/>
    </w:rPr>
  </w:style>
  <w:style w:type="paragraph" w:styleId="Textkrper-Zeileneinzug">
    <w:name w:val="Body Text Indent"/>
    <w:basedOn w:val="Standard"/>
    <w:pPr>
      <w:tabs>
        <w:tab w:val="left" w:pos="440"/>
      </w:tabs>
      <w:ind w:left="720" w:hanging="720"/>
    </w:pPr>
    <w:rPr>
      <w:rFonts w:ascii="Times" w:hAnsi="Times"/>
      <w:color w:val="0000FF"/>
    </w:r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tabs>
        <w:tab w:val="left" w:pos="440"/>
      </w:tabs>
    </w:pPr>
    <w:rPr>
      <w:rFonts w:ascii="Times" w:hAnsi="Times"/>
      <w:color w:val="800080"/>
    </w:rPr>
  </w:style>
  <w:style w:type="paragraph" w:styleId="Textkrper2">
    <w:name w:val="Body Text 2"/>
    <w:basedOn w:val="Standard"/>
    <w:rPr>
      <w:rFonts w:ascii="Times" w:hAnsi="Times"/>
      <w:color w:val="000000"/>
    </w:rPr>
  </w:style>
  <w:style w:type="character" w:styleId="BesuchterLink">
    <w:name w:val="FollowedHyperlink"/>
    <w:rPr>
      <w:color w:val="800080"/>
      <w:u w:val="single"/>
    </w:rPr>
  </w:style>
  <w:style w:type="paragraph" w:styleId="Textkrper-Einzug2">
    <w:name w:val="Body Text Indent 2"/>
    <w:basedOn w:val="Standard"/>
    <w:pPr>
      <w:tabs>
        <w:tab w:val="left" w:pos="440"/>
      </w:tabs>
      <w:ind w:left="720" w:hanging="720"/>
    </w:pPr>
    <w:rPr>
      <w:rFonts w:ascii="Times" w:hAnsi="Times"/>
    </w:rPr>
  </w:style>
  <w:style w:type="paragraph" w:styleId="Textkrper-Einzug3">
    <w:name w:val="Body Text Indent 3"/>
    <w:basedOn w:val="Standard"/>
    <w:pPr>
      <w:tabs>
        <w:tab w:val="left" w:pos="440"/>
      </w:tabs>
      <w:ind w:left="720" w:hanging="720"/>
    </w:pPr>
    <w:rPr>
      <w:rFonts w:ascii="Times" w:hAnsi="Times"/>
      <w:color w:val="FF0000"/>
    </w:rPr>
  </w:style>
  <w:style w:type="paragraph" w:customStyle="1" w:styleId="references">
    <w:name w:val="references"/>
    <w:basedOn w:val="Standard"/>
    <w:rsid w:val="00520524"/>
    <w:pPr>
      <w:tabs>
        <w:tab w:val="left" w:pos="567"/>
      </w:tabs>
      <w:spacing w:line="480" w:lineRule="auto"/>
      <w:ind w:left="567" w:hanging="567"/>
    </w:pPr>
    <w:rPr>
      <w:rFonts w:ascii="Times" w:hAnsi="Times"/>
      <w:color w:val="000000"/>
    </w:rPr>
  </w:style>
  <w:style w:type="paragraph" w:styleId="Listenabsatz">
    <w:name w:val="List Paragraph"/>
    <w:basedOn w:val="Standard"/>
    <w:uiPriority w:val="34"/>
    <w:qFormat/>
    <w:rsid w:val="00E3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5047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Illinois, Urbana-Champaign</Company>
  <LinksUpToDate>false</LinksUpToDate>
  <CharactersWithSpaces>5836</CharactersWithSpaces>
  <SharedDoc>false</SharedDoc>
  <HLinks>
    <vt:vector size="6" baseType="variant">
      <vt:variant>
        <vt:i4>1441863</vt:i4>
      </vt:variant>
      <vt:variant>
        <vt:i4>0</vt:i4>
      </vt:variant>
      <vt:variant>
        <vt:i4>0</vt:i4>
      </vt:variant>
      <vt:variant>
        <vt:i4>5</vt:i4>
      </vt:variant>
      <vt:variant>
        <vt:lpwstr>http://www.etsg.org/ETSG2006/papers/Michalek.pdf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S. Bullock</dc:creator>
  <cp:keywords/>
  <cp:lastModifiedBy>Klaus</cp:lastModifiedBy>
  <cp:revision>2</cp:revision>
  <cp:lastPrinted>2004-08-31T14:46:00Z</cp:lastPrinted>
  <dcterms:created xsi:type="dcterms:W3CDTF">2016-04-20T13:04:00Z</dcterms:created>
  <dcterms:modified xsi:type="dcterms:W3CDTF">2016-04-20T13:04:00Z</dcterms:modified>
</cp:coreProperties>
</file>